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9B53D" w14:textId="67141BE0" w:rsidR="00817820" w:rsidRDefault="004538E8" w:rsidP="00817820">
      <w:pPr>
        <w:pStyle w:val="Header"/>
        <w:tabs>
          <w:tab w:val="center" w:pos="4536"/>
          <w:tab w:val="right" w:pos="9356"/>
          <w:tab w:val="right" w:pos="9781"/>
        </w:tabs>
        <w:ind w:right="-58"/>
        <w:rPr>
          <w:rFonts w:cs="Arial"/>
          <w:bCs/>
          <w:sz w:val="24"/>
          <w:szCs w:val="24"/>
          <w:lang w:val="en-US" w:eastAsia="zh-TW"/>
        </w:rPr>
      </w:pPr>
      <w:bookmarkStart w:id="0" w:name="_Hlk134778852"/>
      <w:bookmarkStart w:id="1" w:name="historyclause"/>
      <w:bookmarkStart w:id="2" w:name="_Toc383764588"/>
      <w:bookmarkEnd w:id="0"/>
      <w:r w:rsidRPr="00397FE2">
        <w:rPr>
          <w:bCs/>
          <w:noProof w:val="0"/>
          <w:sz w:val="24"/>
          <w:szCs w:val="24"/>
        </w:rPr>
        <w:t>3GPP TSG RAN WG1 Meeting #11</w:t>
      </w:r>
      <w:r w:rsidR="00206B35">
        <w:rPr>
          <w:bCs/>
          <w:noProof w:val="0"/>
          <w:sz w:val="24"/>
          <w:szCs w:val="24"/>
        </w:rPr>
        <w:t xml:space="preserve">3                    </w:t>
      </w:r>
      <w:r w:rsidR="00541802">
        <w:rPr>
          <w:rFonts w:cs="Arial"/>
          <w:bCs/>
          <w:sz w:val="24"/>
          <w:szCs w:val="24"/>
          <w:lang w:val="en-US" w:eastAsia="zh-TW"/>
        </w:rPr>
        <w:tab/>
      </w:r>
      <w:r w:rsidR="00206B35">
        <w:rPr>
          <w:rFonts w:cs="Arial"/>
          <w:bCs/>
          <w:sz w:val="24"/>
          <w:szCs w:val="24"/>
          <w:lang w:val="en-US" w:eastAsia="zh-TW"/>
        </w:rPr>
        <w:t xml:space="preserve">  </w:t>
      </w:r>
      <w:r w:rsidR="00C642BC">
        <w:rPr>
          <w:rFonts w:cs="Arial"/>
          <w:bCs/>
          <w:sz w:val="24"/>
          <w:szCs w:val="24"/>
          <w:lang w:val="en-US" w:eastAsia="zh-TW"/>
        </w:rPr>
        <w:t xml:space="preserve">         </w:t>
      </w:r>
      <w:r w:rsidR="00817820">
        <w:rPr>
          <w:rFonts w:cs="Arial"/>
          <w:bCs/>
          <w:sz w:val="24"/>
          <w:szCs w:val="24"/>
          <w:lang w:val="en-US" w:eastAsia="zh-TW"/>
        </w:rPr>
        <w:t xml:space="preserve">                                  </w:t>
      </w:r>
      <w:r w:rsidR="008A24F7" w:rsidRPr="008A24F7">
        <w:rPr>
          <w:rFonts w:cs="Arial"/>
          <w:bCs/>
          <w:sz w:val="24"/>
          <w:szCs w:val="24"/>
          <w:lang w:val="en-US" w:eastAsia="zh-TW"/>
        </w:rPr>
        <w:t>R1-23</w:t>
      </w:r>
      <w:r w:rsidR="00C642BC">
        <w:rPr>
          <w:rFonts w:cs="Arial"/>
          <w:bCs/>
          <w:sz w:val="24"/>
          <w:szCs w:val="24"/>
          <w:lang w:val="en-US" w:eastAsia="zh-TW"/>
        </w:rPr>
        <w:t>05187</w:t>
      </w:r>
    </w:p>
    <w:p w14:paraId="754442FB" w14:textId="3A543EEE" w:rsidR="003A0F5C" w:rsidRDefault="00206B35" w:rsidP="00817820">
      <w:pPr>
        <w:pStyle w:val="Header"/>
        <w:tabs>
          <w:tab w:val="center" w:pos="4536"/>
          <w:tab w:val="right" w:pos="9356"/>
          <w:tab w:val="right" w:pos="9781"/>
        </w:tabs>
        <w:ind w:right="-58"/>
        <w:rPr>
          <w:rFonts w:cs="Arial"/>
          <w:bCs/>
          <w:sz w:val="24"/>
          <w:szCs w:val="28"/>
          <w:lang w:eastAsia="zh-TW"/>
        </w:rPr>
      </w:pPr>
      <w:r>
        <w:rPr>
          <w:rFonts w:cs="Arial"/>
          <w:bCs/>
          <w:sz w:val="24"/>
          <w:szCs w:val="28"/>
          <w:lang w:eastAsia="zh-TW"/>
        </w:rPr>
        <w:t>Incheon</w:t>
      </w:r>
      <w:r w:rsidRPr="00D062F7">
        <w:rPr>
          <w:rFonts w:cs="Arial"/>
          <w:bCs/>
          <w:sz w:val="24"/>
          <w:szCs w:val="28"/>
          <w:lang w:eastAsia="zh-TW"/>
        </w:rPr>
        <w:t>,</w:t>
      </w:r>
      <w:r>
        <w:rPr>
          <w:rFonts w:cs="Arial"/>
          <w:bCs/>
          <w:sz w:val="24"/>
          <w:szCs w:val="28"/>
          <w:lang w:eastAsia="zh-TW"/>
        </w:rPr>
        <w:t xml:space="preserve"> Korea</w:t>
      </w:r>
      <w:r w:rsidR="00177F2F" w:rsidRPr="00177F2F">
        <w:rPr>
          <w:rFonts w:cs="Arial"/>
          <w:bCs/>
          <w:sz w:val="24"/>
          <w:szCs w:val="28"/>
          <w:lang w:eastAsia="zh-TW"/>
        </w:rPr>
        <w:t xml:space="preserve">, </w:t>
      </w:r>
      <w:r>
        <w:rPr>
          <w:rFonts w:cs="Arial"/>
          <w:bCs/>
          <w:sz w:val="24"/>
          <w:szCs w:val="28"/>
          <w:lang w:eastAsia="zh-TW"/>
        </w:rPr>
        <w:t>May</w:t>
      </w:r>
      <w:r w:rsidR="00177F2F" w:rsidRPr="00177F2F">
        <w:rPr>
          <w:rFonts w:cs="Arial"/>
          <w:bCs/>
          <w:sz w:val="24"/>
          <w:szCs w:val="28"/>
          <w:lang w:eastAsia="zh-TW"/>
        </w:rPr>
        <w:t xml:space="preserve"> </w:t>
      </w:r>
      <w:r>
        <w:rPr>
          <w:rFonts w:cs="Arial"/>
          <w:bCs/>
          <w:sz w:val="24"/>
          <w:szCs w:val="28"/>
          <w:lang w:eastAsia="zh-TW"/>
        </w:rPr>
        <w:t>22</w:t>
      </w:r>
      <w:r>
        <w:rPr>
          <w:rFonts w:cs="Arial"/>
          <w:bCs/>
          <w:sz w:val="24"/>
          <w:szCs w:val="28"/>
          <w:vertAlign w:val="superscript"/>
          <w:lang w:eastAsia="zh-TW"/>
        </w:rPr>
        <w:t>nd</w:t>
      </w:r>
      <w:r w:rsidR="00177F2F" w:rsidRPr="00177F2F">
        <w:rPr>
          <w:rFonts w:cs="Arial"/>
          <w:bCs/>
          <w:sz w:val="24"/>
          <w:szCs w:val="28"/>
          <w:lang w:eastAsia="zh-TW"/>
        </w:rPr>
        <w:t xml:space="preserve"> –</w:t>
      </w:r>
      <w:r w:rsidR="004538E8">
        <w:rPr>
          <w:rFonts w:cs="Arial"/>
          <w:bCs/>
          <w:sz w:val="24"/>
          <w:szCs w:val="28"/>
          <w:lang w:eastAsia="zh-TW"/>
        </w:rPr>
        <w:t xml:space="preserve"> </w:t>
      </w:r>
      <w:r w:rsidR="00177F2F" w:rsidRPr="00177F2F">
        <w:rPr>
          <w:rFonts w:cs="Arial"/>
          <w:bCs/>
          <w:sz w:val="24"/>
          <w:szCs w:val="28"/>
          <w:lang w:eastAsia="zh-TW"/>
        </w:rPr>
        <w:t>26</w:t>
      </w:r>
      <w:r w:rsidR="00177F2F" w:rsidRPr="004538E8">
        <w:rPr>
          <w:rFonts w:cs="Arial"/>
          <w:bCs/>
          <w:sz w:val="24"/>
          <w:szCs w:val="28"/>
          <w:vertAlign w:val="superscript"/>
          <w:lang w:eastAsia="zh-TW"/>
        </w:rPr>
        <w:t>th</w:t>
      </w:r>
      <w:r w:rsidR="00177F2F" w:rsidRPr="00177F2F">
        <w:rPr>
          <w:rFonts w:cs="Arial"/>
          <w:bCs/>
          <w:sz w:val="24"/>
          <w:szCs w:val="28"/>
          <w:lang w:eastAsia="zh-TW"/>
        </w:rPr>
        <w:t>, 2023</w:t>
      </w:r>
    </w:p>
    <w:p w14:paraId="4CFF0EDF" w14:textId="77777777" w:rsidR="00C54C95" w:rsidRPr="00817820" w:rsidRDefault="00C54C95" w:rsidP="00817820">
      <w:pPr>
        <w:pStyle w:val="Header"/>
        <w:tabs>
          <w:tab w:val="center" w:pos="4536"/>
          <w:tab w:val="right" w:pos="9356"/>
          <w:tab w:val="right" w:pos="9781"/>
        </w:tabs>
        <w:ind w:right="-58"/>
        <w:rPr>
          <w:rFonts w:cs="Arial"/>
          <w:bCs/>
          <w:sz w:val="24"/>
          <w:szCs w:val="24"/>
          <w:lang w:val="en-US" w:eastAsia="zh-TW"/>
        </w:rPr>
      </w:pPr>
    </w:p>
    <w:p w14:paraId="56CA9211" w14:textId="0E730093" w:rsidR="003A0F5C" w:rsidRPr="009F33AE" w:rsidRDefault="003A0F5C" w:rsidP="003A0F5C">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00256B5C">
        <w:rPr>
          <w:rFonts w:cs="Arial"/>
          <w:bCs/>
          <w:sz w:val="24"/>
          <w:szCs w:val="24"/>
          <w:lang w:val="en-US" w:eastAsia="zh-TW"/>
        </w:rPr>
        <w:t xml:space="preserve"> </w:t>
      </w:r>
      <w:r w:rsidR="0081624A">
        <w:rPr>
          <w:rFonts w:cs="Arial"/>
          <w:bCs/>
          <w:sz w:val="24"/>
          <w:szCs w:val="24"/>
          <w:lang w:val="en-US" w:eastAsia="zh-TW"/>
        </w:rPr>
        <w:t>9.3.1</w:t>
      </w:r>
    </w:p>
    <w:p w14:paraId="34526BD2" w14:textId="074BE220" w:rsidR="003A0F5C" w:rsidRPr="009F33AE" w:rsidRDefault="003A0F5C" w:rsidP="003A0F5C">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Pr="009F33AE">
        <w:rPr>
          <w:rFonts w:eastAsia="MS Mincho" w:cs="Arial"/>
          <w:bCs/>
          <w:sz w:val="24"/>
          <w:szCs w:val="24"/>
          <w:lang w:val="en-US"/>
        </w:rPr>
        <w:t>MediaTek Inc.</w:t>
      </w:r>
    </w:p>
    <w:p w14:paraId="58FF225E" w14:textId="3E9197A6" w:rsidR="003A0F5C" w:rsidRPr="009F33AE" w:rsidRDefault="003A0F5C" w:rsidP="003A0F5C">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1B30B1">
        <w:rPr>
          <w:rFonts w:cs="Arial"/>
          <w:bCs/>
          <w:sz w:val="24"/>
          <w:szCs w:val="24"/>
          <w:lang w:val="en-US" w:eastAsia="zh-TW"/>
        </w:rPr>
        <w:tab/>
      </w:r>
      <w:r w:rsidR="00256B5C">
        <w:rPr>
          <w:rFonts w:cs="Arial"/>
          <w:bCs/>
          <w:sz w:val="24"/>
          <w:szCs w:val="24"/>
          <w:lang w:val="en-US" w:eastAsia="zh-TW"/>
        </w:rPr>
        <w:t xml:space="preserve">                           </w:t>
      </w:r>
      <w:r w:rsidR="004538E8" w:rsidRPr="004538E8">
        <w:rPr>
          <w:rFonts w:cs="Arial"/>
          <w:bCs/>
          <w:sz w:val="24"/>
          <w:szCs w:val="24"/>
          <w:lang w:val="en-US" w:eastAsia="zh-TW"/>
        </w:rPr>
        <w:t>Discussion on evaluation of NR duplex evolution</w:t>
      </w:r>
      <w:r w:rsidR="00B315EB">
        <w:rPr>
          <w:rFonts w:cs="Arial"/>
          <w:bCs/>
          <w:sz w:val="24"/>
          <w:szCs w:val="24"/>
          <w:lang w:val="en-US" w:eastAsia="zh-TW"/>
        </w:rPr>
        <w:t xml:space="preserve"> </w:t>
      </w:r>
    </w:p>
    <w:p w14:paraId="4ED64A23" w14:textId="283E2BBB" w:rsidR="003A0F5C" w:rsidRPr="009F33AE" w:rsidRDefault="003A0F5C" w:rsidP="003A0F5C">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Pr="009F33AE">
        <w:rPr>
          <w:rFonts w:eastAsia="MS Mincho" w:cs="Arial"/>
          <w:bCs/>
          <w:sz w:val="24"/>
          <w:szCs w:val="24"/>
          <w:lang w:val="en-US"/>
        </w:rPr>
        <w:t>Discussion and Decision</w:t>
      </w:r>
    </w:p>
    <w:bookmarkEnd w:id="1"/>
    <w:bookmarkEnd w:id="2"/>
    <w:p w14:paraId="2AF35439" w14:textId="589763C9" w:rsidR="002D44AF" w:rsidRPr="00D271F7" w:rsidRDefault="0001618A" w:rsidP="00D271F7">
      <w:pPr>
        <w:pStyle w:val="Heading1"/>
      </w:pPr>
      <w:r>
        <w:t xml:space="preserve"> </w:t>
      </w:r>
      <w:r w:rsidR="002D44AF" w:rsidRPr="00D271F7">
        <w:rPr>
          <w:rFonts w:hint="eastAsia"/>
        </w:rPr>
        <w:t>Introduction</w:t>
      </w:r>
    </w:p>
    <w:p w14:paraId="53F2E52C" w14:textId="44071DD0" w:rsidR="00B32D37" w:rsidRDefault="00B32D37" w:rsidP="00B32D37">
      <w:pPr>
        <w:spacing w:after="120"/>
        <w:jc w:val="both"/>
        <w:textAlignment w:val="center"/>
        <w:rPr>
          <w:rFonts w:eastAsia="SimSun"/>
          <w:lang w:val="en-US" w:eastAsia="zh-CN"/>
        </w:rPr>
      </w:pPr>
      <w:r>
        <w:rPr>
          <w:rFonts w:eastAsia="SimSun"/>
          <w:lang w:val="en-US" w:eastAsia="zh-CN"/>
        </w:rPr>
        <w:t xml:space="preserve">A </w:t>
      </w:r>
      <w:r w:rsidR="00DD5E49">
        <w:rPr>
          <w:rFonts w:eastAsia="SimSun"/>
          <w:lang w:val="en-US" w:eastAsia="zh-CN"/>
        </w:rPr>
        <w:t>s</w:t>
      </w:r>
      <w:r w:rsidR="00DD5E49" w:rsidRPr="00DD5E49">
        <w:rPr>
          <w:rFonts w:eastAsia="SimSun"/>
          <w:lang w:val="en-US" w:eastAsia="zh-CN"/>
        </w:rPr>
        <w:t>tudy</w:t>
      </w:r>
      <w:r w:rsidR="00DD5E49">
        <w:rPr>
          <w:rFonts w:eastAsia="SimSun"/>
          <w:lang w:val="en-US" w:eastAsia="zh-CN"/>
        </w:rPr>
        <w:t xml:space="preserve"> item </w:t>
      </w:r>
      <w:r w:rsidR="00DD5E49" w:rsidRPr="00DD5E49">
        <w:rPr>
          <w:rFonts w:eastAsia="SimSun"/>
          <w:lang w:val="en-US" w:eastAsia="zh-CN"/>
        </w:rPr>
        <w:t xml:space="preserve">on evolution of NR duplex operation </w:t>
      </w:r>
      <w:r w:rsidR="00DD5E49">
        <w:rPr>
          <w:rFonts w:eastAsia="SimSun"/>
          <w:lang w:val="en-US" w:eastAsia="zh-CN"/>
        </w:rPr>
        <w:t xml:space="preserve">was </w:t>
      </w:r>
      <w:r>
        <w:rPr>
          <w:rFonts w:eastAsia="SimSun"/>
          <w:lang w:val="en-US" w:eastAsia="zh-CN"/>
        </w:rPr>
        <w:t xml:space="preserve">approved in </w:t>
      </w:r>
      <w:r w:rsidRPr="00F351D4">
        <w:rPr>
          <w:rFonts w:eastAsia="SimSun"/>
          <w:lang w:val="en-US" w:eastAsia="zh-CN"/>
        </w:rPr>
        <w:t>RAN#</w:t>
      </w:r>
      <w:r w:rsidR="00DD5E49">
        <w:rPr>
          <w:rFonts w:eastAsia="SimSun"/>
          <w:color w:val="000000" w:themeColor="text1"/>
          <w:lang w:val="en-US" w:eastAsia="zh-CN"/>
        </w:rPr>
        <w:t>94</w:t>
      </w:r>
      <w:r w:rsidR="004C65C9" w:rsidRPr="004C65C9">
        <w:rPr>
          <w:rFonts w:eastAsia="SimSun"/>
          <w:color w:val="000000" w:themeColor="text1"/>
          <w:lang w:val="en-US" w:eastAsia="zh-CN"/>
        </w:rPr>
        <w:t>e</w:t>
      </w:r>
      <w:r>
        <w:rPr>
          <w:rFonts w:eastAsia="SimSun"/>
          <w:lang w:val="en-US" w:eastAsia="zh-CN"/>
        </w:rPr>
        <w:t xml:space="preserve"> with the following objective</w:t>
      </w:r>
      <w:r w:rsidR="006E07A8">
        <w:rPr>
          <w:rFonts w:eastAsia="SimSun"/>
          <w:lang w:val="en-US" w:eastAsia="zh-CN"/>
        </w:rPr>
        <w:t xml:space="preserve"> </w:t>
      </w:r>
      <w:r w:rsidR="006E07A8">
        <w:rPr>
          <w:rFonts w:eastAsia="SimSun"/>
          <w:lang w:val="en-US" w:eastAsia="zh-CN"/>
        </w:rPr>
        <w:fldChar w:fldCharType="begin"/>
      </w:r>
      <w:r w:rsidR="006E07A8">
        <w:rPr>
          <w:rFonts w:eastAsia="SimSun"/>
          <w:lang w:val="en-US" w:eastAsia="zh-CN"/>
        </w:rPr>
        <w:instrText xml:space="preserve"> REF _Ref47545028 \r \h </w:instrText>
      </w:r>
      <w:r w:rsidR="006E07A8">
        <w:rPr>
          <w:rFonts w:eastAsia="SimSun"/>
          <w:lang w:val="en-US" w:eastAsia="zh-CN"/>
        </w:rPr>
      </w:r>
      <w:r w:rsidR="006E07A8">
        <w:rPr>
          <w:rFonts w:eastAsia="SimSun"/>
          <w:lang w:val="en-US" w:eastAsia="zh-CN"/>
        </w:rPr>
        <w:fldChar w:fldCharType="separate"/>
      </w:r>
      <w:r w:rsidR="00B758B7">
        <w:rPr>
          <w:rFonts w:eastAsia="SimSun"/>
          <w:lang w:val="en-US" w:eastAsia="zh-CN"/>
        </w:rPr>
        <w:t>[1]</w:t>
      </w:r>
      <w:r w:rsidR="006E07A8">
        <w:rPr>
          <w:rFonts w:eastAsia="SimSun"/>
          <w:lang w:val="en-US" w:eastAsia="zh-CN"/>
        </w:rPr>
        <w:fldChar w:fldCharType="end"/>
      </w:r>
      <w:r w:rsidR="00761F7E">
        <w:rPr>
          <w:rFonts w:eastAsia="SimSun"/>
          <w:lang w:val="en-US" w:eastAsia="zh-CN"/>
        </w:rPr>
        <w:t>:</w:t>
      </w:r>
    </w:p>
    <w:tbl>
      <w:tblPr>
        <w:tblStyle w:val="TableGrid"/>
        <w:tblW w:w="0" w:type="auto"/>
        <w:tblLook w:val="04A0" w:firstRow="1" w:lastRow="0" w:firstColumn="1" w:lastColumn="0" w:noHBand="0" w:noVBand="1"/>
      </w:tblPr>
      <w:tblGrid>
        <w:gridCol w:w="9631"/>
      </w:tblGrid>
      <w:tr w:rsidR="00B32D37" w14:paraId="66930D35" w14:textId="77777777" w:rsidTr="00FA2792">
        <w:tc>
          <w:tcPr>
            <w:tcW w:w="9631" w:type="dxa"/>
          </w:tcPr>
          <w:p w14:paraId="7E613351" w14:textId="77777777" w:rsidR="00DD5E49" w:rsidRPr="00DD5E49" w:rsidRDefault="00DD5E49" w:rsidP="00493E7C">
            <w:pPr>
              <w:numPr>
                <w:ilvl w:val="0"/>
                <w:numId w:val="4"/>
              </w:numPr>
              <w:overflowPunct w:val="0"/>
              <w:autoSpaceDE w:val="0"/>
              <w:autoSpaceDN w:val="0"/>
              <w:spacing w:after="60"/>
              <w:rPr>
                <w:lang w:val="en-US"/>
              </w:rPr>
            </w:pPr>
            <w:r w:rsidRPr="00DD5E49">
              <w:rPr>
                <w:lang w:val="en-US"/>
              </w:rPr>
              <w:t>Identify applicable and relevant deployment scenarios (RAN1).</w:t>
            </w:r>
          </w:p>
          <w:p w14:paraId="71FA9D5D" w14:textId="77777777" w:rsidR="00DD5E49" w:rsidRPr="00DD5E49" w:rsidRDefault="00DD5E49" w:rsidP="00493E7C">
            <w:pPr>
              <w:numPr>
                <w:ilvl w:val="0"/>
                <w:numId w:val="4"/>
              </w:numPr>
              <w:overflowPunct w:val="0"/>
              <w:autoSpaceDE w:val="0"/>
              <w:autoSpaceDN w:val="0"/>
              <w:spacing w:after="60"/>
              <w:rPr>
                <w:lang w:val="en-US"/>
              </w:rPr>
            </w:pPr>
            <w:r w:rsidRPr="00DD5E49">
              <w:rPr>
                <w:lang w:val="en-US"/>
              </w:rPr>
              <w:t>Develop evaluation methodology for duplex enhancement (RAN1).</w:t>
            </w:r>
          </w:p>
          <w:p w14:paraId="3673EB34" w14:textId="77777777" w:rsidR="00DD5E49" w:rsidRPr="00DD5E49" w:rsidRDefault="00DD5E49" w:rsidP="00493E7C">
            <w:pPr>
              <w:numPr>
                <w:ilvl w:val="0"/>
                <w:numId w:val="4"/>
              </w:numPr>
              <w:overflowPunct w:val="0"/>
              <w:autoSpaceDE w:val="0"/>
              <w:autoSpaceDN w:val="0"/>
              <w:spacing w:after="60"/>
              <w:rPr>
                <w:lang w:val="en-US"/>
              </w:rPr>
            </w:pPr>
            <w:r w:rsidRPr="00DD5E49">
              <w:rPr>
                <w:lang w:val="en-US"/>
              </w:rPr>
              <w:t>Study the subband non-overlapping full duplex and potential enhancements on dynamic/flexible TDD (RAN1, RAN4).</w:t>
            </w:r>
          </w:p>
          <w:p w14:paraId="1812EB75" w14:textId="77777777" w:rsidR="00DD5E49" w:rsidRPr="00DD5E49" w:rsidRDefault="00DD5E49" w:rsidP="00493E7C">
            <w:pPr>
              <w:numPr>
                <w:ilvl w:val="1"/>
                <w:numId w:val="4"/>
              </w:numPr>
              <w:overflowPunct w:val="0"/>
              <w:autoSpaceDE w:val="0"/>
              <w:autoSpaceDN w:val="0"/>
              <w:spacing w:after="60"/>
              <w:rPr>
                <w:lang w:val="en-US"/>
              </w:rPr>
            </w:pPr>
            <w:r w:rsidRPr="00DD5E49">
              <w:rPr>
                <w:lang w:val="en-US"/>
              </w:rPr>
              <w:t>Identify possible schemes and evaluate their feasibility and performances (RAN1).</w:t>
            </w:r>
          </w:p>
          <w:p w14:paraId="28DF9882" w14:textId="77777777" w:rsidR="00DD5E49" w:rsidRPr="00DD5E49" w:rsidRDefault="00DD5E49" w:rsidP="00493E7C">
            <w:pPr>
              <w:numPr>
                <w:ilvl w:val="1"/>
                <w:numId w:val="4"/>
              </w:numPr>
              <w:overflowPunct w:val="0"/>
              <w:autoSpaceDE w:val="0"/>
              <w:autoSpaceDN w:val="0"/>
              <w:spacing w:after="60"/>
              <w:rPr>
                <w:lang w:val="en-US"/>
              </w:rPr>
            </w:pPr>
            <w:r w:rsidRPr="00DD5E49">
              <w:rPr>
                <w:lang w:val="en-US"/>
              </w:rPr>
              <w:t xml:space="preserve">Study inter-gNB and inter-UE CLI handling and identify solutions to manage them (RAN1). </w:t>
            </w:r>
          </w:p>
          <w:p w14:paraId="24EA8520" w14:textId="77777777" w:rsidR="00DD5E49" w:rsidRPr="00DD5E49" w:rsidRDefault="00DD5E49" w:rsidP="00493E7C">
            <w:pPr>
              <w:numPr>
                <w:ilvl w:val="2"/>
                <w:numId w:val="4"/>
              </w:numPr>
              <w:overflowPunct w:val="0"/>
              <w:autoSpaceDE w:val="0"/>
              <w:autoSpaceDN w:val="0"/>
              <w:spacing w:after="60"/>
              <w:rPr>
                <w:lang w:val="en-US"/>
              </w:rPr>
            </w:pPr>
            <w:r w:rsidRPr="00DD5E49">
              <w:rPr>
                <w:lang w:val="en-US"/>
              </w:rPr>
              <w:t>Consider intra-subband CLI and inter-subband CLI in case of the subband non-overlapping full duplex.</w:t>
            </w:r>
          </w:p>
          <w:p w14:paraId="5401E48E" w14:textId="77777777" w:rsidR="00DD5E49" w:rsidRPr="00DD5E49" w:rsidRDefault="00DD5E49" w:rsidP="00493E7C">
            <w:pPr>
              <w:numPr>
                <w:ilvl w:val="1"/>
                <w:numId w:val="4"/>
              </w:numPr>
              <w:overflowPunct w:val="0"/>
              <w:autoSpaceDE w:val="0"/>
              <w:autoSpaceDN w:val="0"/>
              <w:spacing w:after="60"/>
              <w:rPr>
                <w:lang w:val="en-US"/>
              </w:rPr>
            </w:pPr>
            <w:r w:rsidRPr="00DD5E49">
              <w:rPr>
                <w:lang w:val="en-US"/>
              </w:rPr>
              <w:t>Study the performance of the identified schemes as well as the impact on legacy operation assuming their co-existence in co-channel and adjacent channels (RAN1).</w:t>
            </w:r>
          </w:p>
          <w:p w14:paraId="67AA03CF" w14:textId="77777777" w:rsidR="00DD5E49" w:rsidRPr="00DD5E49" w:rsidRDefault="00DD5E49" w:rsidP="00493E7C">
            <w:pPr>
              <w:numPr>
                <w:ilvl w:val="1"/>
                <w:numId w:val="4"/>
              </w:numPr>
              <w:overflowPunct w:val="0"/>
              <w:autoSpaceDE w:val="0"/>
              <w:autoSpaceDN w:val="0"/>
              <w:spacing w:after="60"/>
              <w:rPr>
                <w:lang w:val="en-US"/>
              </w:rPr>
            </w:pPr>
            <w:r w:rsidRPr="00DD5E49">
              <w:rPr>
                <w:lang w:val="en-US"/>
              </w:rPr>
              <w:t>Study the feasibility of and impact on RF requirements considering adjacent-channel co-existence with the legacy operation (RAN4).</w:t>
            </w:r>
          </w:p>
          <w:p w14:paraId="00610F71" w14:textId="77777777" w:rsidR="00DD5E49" w:rsidRPr="00DD5E49" w:rsidRDefault="00DD5E49" w:rsidP="00493E7C">
            <w:pPr>
              <w:numPr>
                <w:ilvl w:val="1"/>
                <w:numId w:val="4"/>
              </w:numPr>
              <w:overflowPunct w:val="0"/>
              <w:autoSpaceDE w:val="0"/>
              <w:autoSpaceDN w:val="0"/>
              <w:spacing w:after="60"/>
              <w:rPr>
                <w:lang w:val="en-US"/>
              </w:rPr>
            </w:pPr>
            <w:r w:rsidRPr="00DD5E49">
              <w:rPr>
                <w:lang w:val="en-US"/>
              </w:rPr>
              <w:t>Study the feasibility of and impact on RF requirements considering the self-interference, the inter-subband CLI, and the inter-operator CLI at gNB and the inter-subband CLI and inter-operator CLI at UE (RAN4).</w:t>
            </w:r>
          </w:p>
          <w:p w14:paraId="269A2377" w14:textId="77777777" w:rsidR="00DD5E49" w:rsidRPr="00DD5E49" w:rsidRDefault="00DD5E49" w:rsidP="00493E7C">
            <w:pPr>
              <w:numPr>
                <w:ilvl w:val="1"/>
                <w:numId w:val="4"/>
              </w:numPr>
              <w:overflowPunct w:val="0"/>
              <w:autoSpaceDE w:val="0"/>
              <w:autoSpaceDN w:val="0"/>
              <w:spacing w:after="60"/>
              <w:rPr>
                <w:lang w:val="en-US"/>
              </w:rPr>
            </w:pPr>
            <w:r w:rsidRPr="00DD5E49">
              <w:rPr>
                <w:lang w:val="en-US"/>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DD5E49">
              <w:rPr>
                <w:lang w:val="en-US"/>
              </w:rPr>
              <w:t>filtering</w:t>
            </w:r>
            <w:proofErr w:type="gramEnd"/>
            <w:r w:rsidRPr="00DD5E49">
              <w:rPr>
                <w:lang w:val="en-US"/>
              </w:rPr>
              <w:t xml:space="preserve"> and digital interference suppression.</w:t>
            </w:r>
          </w:p>
          <w:p w14:paraId="6F4FE1B7" w14:textId="73C9EA19" w:rsidR="00B32D37" w:rsidRPr="00DD5E49" w:rsidRDefault="00DD5E49" w:rsidP="00493E7C">
            <w:pPr>
              <w:numPr>
                <w:ilvl w:val="1"/>
                <w:numId w:val="4"/>
              </w:numPr>
              <w:overflowPunct w:val="0"/>
              <w:autoSpaceDE w:val="0"/>
              <w:autoSpaceDN w:val="0"/>
              <w:spacing w:after="60"/>
              <w:rPr>
                <w:lang w:val="en-US"/>
              </w:rPr>
            </w:pPr>
            <w:r w:rsidRPr="00DD5E49">
              <w:rPr>
                <w:lang w:val="en-US"/>
              </w:rPr>
              <w:t xml:space="preserve">Summarize the regulatory aspects that </w:t>
            </w:r>
            <w:proofErr w:type="gramStart"/>
            <w:r w:rsidRPr="00DD5E49">
              <w:rPr>
                <w:lang w:val="en-US"/>
              </w:rPr>
              <w:t>have to</w:t>
            </w:r>
            <w:proofErr w:type="gramEnd"/>
            <w:r w:rsidRPr="00DD5E49">
              <w:rPr>
                <w:lang w:val="en-US"/>
              </w:rPr>
              <w:t xml:space="preserve"> be considered for deploying the identified duplex enhancements in TDD unpaired spectrum (RAN4).</w:t>
            </w:r>
          </w:p>
        </w:tc>
      </w:tr>
    </w:tbl>
    <w:p w14:paraId="326EA177" w14:textId="3BACF32E" w:rsidR="009A0569" w:rsidRPr="000460EA" w:rsidRDefault="00B32D37" w:rsidP="00B32D37">
      <w:pPr>
        <w:spacing w:before="120" w:after="120"/>
        <w:jc w:val="both"/>
        <w:textAlignment w:val="center"/>
        <w:rPr>
          <w:rFonts w:eastAsia="SimSun"/>
          <w:color w:val="000000" w:themeColor="text1"/>
          <w:lang w:val="en-US" w:eastAsia="zh-CN"/>
        </w:rPr>
      </w:pPr>
      <w:r w:rsidRPr="000460EA">
        <w:rPr>
          <w:rFonts w:eastAsia="SimSun"/>
          <w:color w:val="000000" w:themeColor="text1"/>
          <w:lang w:val="en-US" w:eastAsia="zh-CN"/>
        </w:rPr>
        <w:t xml:space="preserve">In this contribution, </w:t>
      </w:r>
      <w:r w:rsidR="00D9146A">
        <w:rPr>
          <w:rStyle w:val="ui-provider"/>
        </w:rPr>
        <w:t xml:space="preserve">we examine the </w:t>
      </w:r>
      <w:r w:rsidR="002248E0">
        <w:rPr>
          <w:rStyle w:val="ui-provider"/>
        </w:rPr>
        <w:t>Subband Full</w:t>
      </w:r>
      <w:r w:rsidR="00D9146A">
        <w:rPr>
          <w:rStyle w:val="ui-provider"/>
        </w:rPr>
        <w:t xml:space="preserve"> Duplexing (S</w:t>
      </w:r>
      <w:r w:rsidR="00E87373">
        <w:rPr>
          <w:rStyle w:val="ui-provider"/>
        </w:rPr>
        <w:t>BFD</w:t>
      </w:r>
      <w:r w:rsidR="00D9146A">
        <w:rPr>
          <w:rStyle w:val="ui-provider"/>
        </w:rPr>
        <w:t>) evaluation results in comparison to the legacy Time Division Duplexing (TDD) and make some important observations from these evaluations</w:t>
      </w:r>
      <w:r w:rsidR="00977F0B">
        <w:rPr>
          <w:rFonts w:eastAsia="SimSun"/>
          <w:color w:val="000000" w:themeColor="text1"/>
          <w:lang w:val="en-US" w:eastAsia="zh-CN"/>
        </w:rPr>
        <w:t>.</w:t>
      </w:r>
    </w:p>
    <w:p w14:paraId="3BDA61AD" w14:textId="0AD0563A" w:rsidR="0014368D" w:rsidRDefault="00573F8E" w:rsidP="0014368D">
      <w:pPr>
        <w:pStyle w:val="Heading1"/>
      </w:pPr>
      <w:r>
        <w:t xml:space="preserve">SBFD </w:t>
      </w:r>
      <w:r w:rsidR="00722EF7">
        <w:t>E</w:t>
      </w:r>
      <w:r w:rsidR="00497A62">
        <w:t xml:space="preserve">valuation </w:t>
      </w:r>
      <w:r w:rsidR="00AE2D88">
        <w:t>Results</w:t>
      </w:r>
    </w:p>
    <w:p w14:paraId="7759E9FE" w14:textId="435AAFA0" w:rsidR="0040300D" w:rsidRPr="0040300D" w:rsidRDefault="009A7C04" w:rsidP="008E6EB5">
      <w:pPr>
        <w:jc w:val="both"/>
      </w:pPr>
      <w:r>
        <w:rPr>
          <w:rStyle w:val="ui-provider"/>
        </w:rPr>
        <w:t>An analysis of the performance of SBFD compared to TDD is conducted based on Deployment Case 1 of SBFD. The FR1 UMa scenario is used for this comparison. Full buffer and FTP3 traffic are taken into consideration to make key observations</w:t>
      </w:r>
      <w:r w:rsidR="00614C5E">
        <w:t>.</w:t>
      </w:r>
      <w:r w:rsidR="00BC7548">
        <w:t xml:space="preserve"> </w:t>
      </w:r>
    </w:p>
    <w:p w14:paraId="713A79F1" w14:textId="5AF6A570" w:rsidR="000D2458" w:rsidRDefault="00614C5E" w:rsidP="000D2458">
      <w:pPr>
        <w:pStyle w:val="Heading2"/>
      </w:pPr>
      <w:r>
        <w:t>Full Buffer</w:t>
      </w:r>
      <w:r w:rsidR="00DC5D36">
        <w:t xml:space="preserve"> Traffic</w:t>
      </w:r>
    </w:p>
    <w:p w14:paraId="7310FA04" w14:textId="0E6B5E34" w:rsidR="00A83944" w:rsidRDefault="006A59D3" w:rsidP="006A59D3">
      <w:pPr>
        <w:pStyle w:val="Heading3"/>
        <w:rPr>
          <w:rStyle w:val="ui-provider"/>
        </w:rPr>
      </w:pPr>
      <w:r>
        <w:rPr>
          <w:rStyle w:val="ui-provider"/>
        </w:rPr>
        <w:t>SLS validation</w:t>
      </w:r>
      <w:r w:rsidR="00BC3EF6">
        <w:rPr>
          <w:rStyle w:val="ui-provider"/>
        </w:rPr>
        <w:t xml:space="preserve"> with </w:t>
      </w:r>
      <w:r w:rsidR="00BC54AE">
        <w:rPr>
          <w:rStyle w:val="ui-provider"/>
        </w:rPr>
        <w:t xml:space="preserve">TDD and </w:t>
      </w:r>
      <w:r w:rsidR="00BC3EF6">
        <w:rPr>
          <w:rStyle w:val="ui-provider"/>
        </w:rPr>
        <w:t>SBFD</w:t>
      </w:r>
    </w:p>
    <w:p w14:paraId="70D9BDE0" w14:textId="50E368E4" w:rsidR="00F31FF3" w:rsidRDefault="00F31FF3" w:rsidP="00EC03D5">
      <w:pPr>
        <w:spacing w:after="120"/>
        <w:jc w:val="both"/>
        <w:rPr>
          <w:rStyle w:val="ui-provider"/>
        </w:rPr>
      </w:pPr>
      <w:r>
        <w:rPr>
          <w:rStyle w:val="ui-provider"/>
        </w:rPr>
        <w:t xml:space="preserve">Some subbands of TDD DL slots are allocated as UL resources to enable SBFD. This forms the SBFD format as </w:t>
      </w:r>
      <w:r w:rsidR="007D13EC">
        <w:rPr>
          <w:rStyle w:val="ui-provider"/>
        </w:rPr>
        <w:t>‘</w:t>
      </w:r>
      <w:r w:rsidR="005F5E1A" w:rsidRPr="007D13EC">
        <w:rPr>
          <w:rStyle w:val="ui-provider"/>
        </w:rPr>
        <w:t>XXXXU</w:t>
      </w:r>
      <w:r w:rsidR="007D13EC">
        <w:rPr>
          <w:rStyle w:val="ui-provider"/>
        </w:rPr>
        <w:t>’</w:t>
      </w:r>
      <w:r>
        <w:rPr>
          <w:rStyle w:val="ui-provider"/>
        </w:rPr>
        <w:t xml:space="preserve">, where 20% of the RBs are allocated to UL, with the subband configuration &lt; ND, NU, NG &gt; = &lt;104, 54, 5&gt;. Thus, some DL resources are sacrificed to provide UL resources, </w:t>
      </w:r>
      <w:r w:rsidR="00E20C08">
        <w:rPr>
          <w:rStyle w:val="ui-provider"/>
        </w:rPr>
        <w:t>leading to a theoretical calculation of resource gain for UL and resource loss for DL. This can be compared with the expected gain/loss of spectral efficiency of SBFD compared to TDD</w:t>
      </w:r>
      <w:r>
        <w:rPr>
          <w:rStyle w:val="ui-provider"/>
        </w:rPr>
        <w:t xml:space="preserve">. </w:t>
      </w:r>
      <w:r w:rsidR="00977BAB">
        <w:rPr>
          <w:rStyle w:val="ui-provider"/>
        </w:rPr>
        <w:t xml:space="preserve">This evaluation can be considered as </w:t>
      </w:r>
      <w:r w:rsidR="00F5196C">
        <w:rPr>
          <w:rStyle w:val="ui-provider"/>
        </w:rPr>
        <w:t xml:space="preserve">a good validation method for the system level simulator (SLS). </w:t>
      </w:r>
    </w:p>
    <w:p w14:paraId="6B99B450" w14:textId="1806A97F" w:rsidR="004C6020" w:rsidRDefault="00A77176" w:rsidP="00A433AC">
      <w:pPr>
        <w:spacing w:after="120"/>
        <w:jc w:val="both"/>
        <w:rPr>
          <w:rStyle w:val="ui-provider"/>
        </w:rPr>
      </w:pPr>
      <w:r>
        <w:rPr>
          <w:rStyle w:val="ui-provider"/>
        </w:rPr>
        <w:t xml:space="preserve">From </w:t>
      </w:r>
      <w:r>
        <w:rPr>
          <w:rStyle w:val="ui-provider"/>
        </w:rPr>
        <w:fldChar w:fldCharType="begin"/>
      </w:r>
      <w:r>
        <w:rPr>
          <w:rStyle w:val="ui-provider"/>
        </w:rPr>
        <w:instrText xml:space="preserve"> REF _Ref134781701 \h  \* MERGEFORMAT </w:instrText>
      </w:r>
      <w:r>
        <w:rPr>
          <w:rStyle w:val="ui-provider"/>
        </w:rPr>
      </w:r>
      <w:r>
        <w:rPr>
          <w:rStyle w:val="ui-provider"/>
        </w:rPr>
        <w:fldChar w:fldCharType="separate"/>
      </w:r>
      <w:r w:rsidR="00B758B7" w:rsidRPr="00B758B7">
        <w:t xml:space="preserve">Table </w:t>
      </w:r>
      <w:r w:rsidR="00B758B7" w:rsidRPr="00B758B7">
        <w:rPr>
          <w:noProof/>
        </w:rPr>
        <w:t>1</w:t>
      </w:r>
      <w:r>
        <w:rPr>
          <w:rStyle w:val="ui-provider"/>
        </w:rPr>
        <w:fldChar w:fldCharType="end"/>
      </w:r>
      <w:r>
        <w:rPr>
          <w:rStyle w:val="ui-provider"/>
        </w:rPr>
        <w:t>, the DL and UL resource gain of SBFD (XXXXU) compared to TDD (DDDSU) are examined in relation to their corresponding spectral efficiency gain. As expected, a clear correlation is seen between resource gain and spectral efficiency.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1"/>
      </w:tblGrid>
      <w:tr w:rsidR="004C6020" w14:paraId="2C4AD453" w14:textId="77777777" w:rsidTr="002C7BBB">
        <w:tc>
          <w:tcPr>
            <w:tcW w:w="9631" w:type="dxa"/>
            <w:vAlign w:val="center"/>
          </w:tcPr>
          <w:p w14:paraId="5805FB6D" w14:textId="592F6012" w:rsidR="003A1B8E" w:rsidRPr="003A1B8E" w:rsidRDefault="003A1B8E" w:rsidP="00665B59">
            <w:pPr>
              <w:pStyle w:val="Caption"/>
              <w:keepNext/>
              <w:spacing w:before="0" w:after="0"/>
              <w:jc w:val="center"/>
              <w:rPr>
                <w:b w:val="0"/>
                <w:bCs/>
              </w:rPr>
            </w:pPr>
            <w:bookmarkStart w:id="3" w:name="_Ref134781701"/>
            <w:r w:rsidRPr="003A1B8E">
              <w:rPr>
                <w:b w:val="0"/>
                <w:bCs/>
              </w:rPr>
              <w:lastRenderedPageBreak/>
              <w:t xml:space="preserve">Table </w:t>
            </w:r>
            <w:r w:rsidRPr="003A1B8E">
              <w:rPr>
                <w:b w:val="0"/>
                <w:bCs/>
              </w:rPr>
              <w:fldChar w:fldCharType="begin"/>
            </w:r>
            <w:r w:rsidRPr="003A1B8E">
              <w:rPr>
                <w:b w:val="0"/>
                <w:bCs/>
              </w:rPr>
              <w:instrText xml:space="preserve"> SEQ Table \* ARABIC </w:instrText>
            </w:r>
            <w:r w:rsidRPr="003A1B8E">
              <w:rPr>
                <w:b w:val="0"/>
                <w:bCs/>
              </w:rPr>
              <w:fldChar w:fldCharType="separate"/>
            </w:r>
            <w:r w:rsidR="00B758B7">
              <w:rPr>
                <w:b w:val="0"/>
                <w:bCs/>
                <w:noProof/>
              </w:rPr>
              <w:t>1</w:t>
            </w:r>
            <w:r w:rsidRPr="003A1B8E">
              <w:rPr>
                <w:b w:val="0"/>
                <w:bCs/>
              </w:rPr>
              <w:fldChar w:fldCharType="end"/>
            </w:r>
            <w:bookmarkEnd w:id="3"/>
            <w:r w:rsidRPr="003A1B8E">
              <w:rPr>
                <w:b w:val="0"/>
                <w:bCs/>
              </w:rPr>
              <w:t>: Comparison of resource gain and spectral efficiency gain</w:t>
            </w:r>
          </w:p>
          <w:p w14:paraId="3F57F47A" w14:textId="69545FF4" w:rsidR="004C6020" w:rsidRDefault="004C6020" w:rsidP="00665B59">
            <w:pPr>
              <w:spacing w:after="0"/>
              <w:jc w:val="center"/>
              <w:rPr>
                <w:rStyle w:val="ui-provider"/>
              </w:rPr>
            </w:pPr>
            <w:r>
              <w:rPr>
                <w:rStyle w:val="ui-provider"/>
                <w:noProof/>
              </w:rPr>
              <w:drawing>
                <wp:inline distT="0" distB="0" distL="0" distR="0" wp14:anchorId="6974B723" wp14:editId="783A2EB6">
                  <wp:extent cx="6026853" cy="854202"/>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84121" cy="904839"/>
                          </a:xfrm>
                          <a:prstGeom prst="rect">
                            <a:avLst/>
                          </a:prstGeom>
                          <a:noFill/>
                        </pic:spPr>
                      </pic:pic>
                    </a:graphicData>
                  </a:graphic>
                </wp:inline>
              </w:drawing>
            </w:r>
          </w:p>
        </w:tc>
      </w:tr>
    </w:tbl>
    <w:p w14:paraId="6BEDD3A6" w14:textId="70C3BA68" w:rsidR="00EF4B7B" w:rsidRPr="00EF4B7B" w:rsidRDefault="00EF4B7B" w:rsidP="00EF4B7B">
      <w:pPr>
        <w:spacing w:after="0"/>
        <w:jc w:val="both"/>
      </w:pPr>
      <w:r w:rsidRPr="00EF4B7B">
        <w:rPr>
          <w:b/>
          <w:bCs/>
          <w:i/>
          <w:iCs/>
        </w:rPr>
        <w:t xml:space="preserve">Observation </w:t>
      </w:r>
      <w:r w:rsidRPr="00EF4B7B">
        <w:rPr>
          <w:b/>
          <w:bCs/>
          <w:i/>
          <w:iCs/>
        </w:rPr>
        <w:fldChar w:fldCharType="begin"/>
      </w:r>
      <w:r w:rsidRPr="00EF4B7B">
        <w:rPr>
          <w:b/>
          <w:bCs/>
          <w:i/>
          <w:iCs/>
        </w:rPr>
        <w:instrText xml:space="preserve"> SEQ Observation \* ARABIC </w:instrText>
      </w:r>
      <w:r w:rsidRPr="00EF4B7B">
        <w:rPr>
          <w:b/>
          <w:bCs/>
          <w:i/>
          <w:iCs/>
        </w:rPr>
        <w:fldChar w:fldCharType="separate"/>
      </w:r>
      <w:r w:rsidR="00B758B7">
        <w:rPr>
          <w:b/>
          <w:bCs/>
          <w:i/>
          <w:iCs/>
          <w:noProof/>
        </w:rPr>
        <w:t>1</w:t>
      </w:r>
      <w:r w:rsidRPr="00EF4B7B">
        <w:rPr>
          <w:b/>
          <w:bCs/>
          <w:i/>
          <w:iCs/>
        </w:rPr>
        <w:fldChar w:fldCharType="end"/>
      </w:r>
      <w:r w:rsidRPr="00EF4B7B">
        <w:t xml:space="preserve">: </w:t>
      </w:r>
      <w:bookmarkStart w:id="4" w:name="_Ref134784009"/>
      <w:r w:rsidRPr="002D370C">
        <w:rPr>
          <w:rFonts w:eastAsia="SimSun"/>
          <w:b/>
          <w:bCs/>
          <w:i/>
          <w:iCs/>
          <w:lang w:val="en-US"/>
        </w:rPr>
        <w:t>The resource gain/loss in UL and DL, as well as the spectral efficiency gain/loss in UL and DL</w:t>
      </w:r>
      <w:r>
        <w:rPr>
          <w:rFonts w:eastAsia="SimSun"/>
          <w:b/>
          <w:bCs/>
          <w:i/>
          <w:iCs/>
          <w:lang w:val="en-US"/>
        </w:rPr>
        <w:t xml:space="preserve"> </w:t>
      </w:r>
      <w:r w:rsidRPr="002D370C">
        <w:rPr>
          <w:rFonts w:eastAsia="SimSun"/>
          <w:b/>
          <w:bCs/>
          <w:i/>
          <w:iCs/>
          <w:lang w:val="en-US"/>
        </w:rPr>
        <w:t>for SBFD over the legacy TDD, are closely aligned</w:t>
      </w:r>
      <w:bookmarkEnd w:id="4"/>
    </w:p>
    <w:p w14:paraId="031E7876" w14:textId="77777777" w:rsidR="00EF4B7B" w:rsidRDefault="00EF4B7B" w:rsidP="007E5CDF">
      <w:pPr>
        <w:spacing w:after="120"/>
        <w:jc w:val="both"/>
        <w:rPr>
          <w:rStyle w:val="ui-provider"/>
        </w:rPr>
      </w:pPr>
    </w:p>
    <w:p w14:paraId="002B8B65" w14:textId="7A3B659E" w:rsidR="00C22E17" w:rsidRDefault="00593513" w:rsidP="00CD4ADD">
      <w:pPr>
        <w:pStyle w:val="Heading3"/>
        <w:spacing w:after="120"/>
        <w:jc w:val="both"/>
      </w:pPr>
      <w:r>
        <w:t>Impact of inter-UE CLI in Downlink</w:t>
      </w:r>
    </w:p>
    <w:p w14:paraId="53B65F20" w14:textId="1D6C4B16" w:rsidR="00593513" w:rsidRDefault="00981D2E" w:rsidP="00981D2E">
      <w:pPr>
        <w:jc w:val="both"/>
        <w:rPr>
          <w:rStyle w:val="ui-provider"/>
        </w:rPr>
      </w:pPr>
      <w:r>
        <w:rPr>
          <w:rStyle w:val="ui-provider"/>
        </w:rPr>
        <w:t xml:space="preserve">In the </w:t>
      </w:r>
      <w:r w:rsidR="00D30F6B">
        <w:rPr>
          <w:rStyle w:val="ui-provider"/>
        </w:rPr>
        <w:t>legacy</w:t>
      </w:r>
      <w:r>
        <w:rPr>
          <w:rStyle w:val="ui-provider"/>
        </w:rPr>
        <w:t xml:space="preserve"> TDD, UL and DL transmissions take place in distinct time slots, meaning there is no risk of interference between UL and DL signals from neighbouring UEs. However, with SBFD, UL and DL transmissions occur during the same time slot at the gNB, leading to Inter-UE CLI, as the UL transmission of one UE negatively affects the reception of DL signal at another nearby UE.</w:t>
      </w:r>
    </w:p>
    <w:p w14:paraId="3F3B66DF" w14:textId="66505901" w:rsidR="0060757B" w:rsidRDefault="0060757B" w:rsidP="00981D2E">
      <w:pPr>
        <w:jc w:val="both"/>
        <w:rPr>
          <w:rStyle w:val="ui-provider"/>
        </w:rPr>
      </w:pPr>
      <w:r>
        <w:rPr>
          <w:rStyle w:val="ui-provider"/>
        </w:rPr>
        <w:t xml:space="preserve">In traditional simulations, UEs are uniformly and randomly distributed, leading to a scenario where the distances between UEs are relatively large. As a result, the effect of Inter-UE CLI is not captured, as the separation distance is too big to account for it. This uniform random distribution also does not represent a real-world scenario, where users with multiple mobile devices typically group together in places like meeting rooms, </w:t>
      </w:r>
      <w:r w:rsidR="00EE0564">
        <w:rPr>
          <w:rStyle w:val="ui-provider"/>
        </w:rPr>
        <w:t>restaurants,</w:t>
      </w:r>
      <w:r>
        <w:rPr>
          <w:rStyle w:val="ui-provider"/>
        </w:rPr>
        <w:t xml:space="preserve"> and public transport, with much smaller separation distances than those depicted in the simulation.</w:t>
      </w:r>
      <w:r w:rsidR="00BA06D9">
        <w:rPr>
          <w:rStyle w:val="ui-provider"/>
        </w:rPr>
        <w:t xml:space="preserve"> Thereby, clustered UE dropping </w:t>
      </w:r>
      <w:r w:rsidR="008E69B5">
        <w:rPr>
          <w:rStyle w:val="ui-provider"/>
        </w:rPr>
        <w:t>is agreed</w:t>
      </w:r>
      <w:r w:rsidR="00F612B4">
        <w:rPr>
          <w:rStyle w:val="ui-provider"/>
        </w:rPr>
        <w:t xml:space="preserve"> [</w:t>
      </w:r>
      <w:r w:rsidR="00D80818">
        <w:rPr>
          <w:rStyle w:val="ui-provider"/>
        </w:rPr>
        <w:t>2</w:t>
      </w:r>
      <w:r w:rsidR="00F612B4">
        <w:rPr>
          <w:rStyle w:val="ui-provider"/>
        </w:rPr>
        <w:t>]</w:t>
      </w:r>
      <w:r w:rsidR="008E69B5">
        <w:rPr>
          <w:rStyle w:val="ui-provider"/>
        </w:rPr>
        <w:t xml:space="preserve"> to </w:t>
      </w:r>
      <w:r w:rsidR="00F612B4">
        <w:rPr>
          <w:rStyle w:val="ui-provider"/>
        </w:rPr>
        <w:t>study</w:t>
      </w:r>
      <w:r w:rsidR="008E69B5">
        <w:rPr>
          <w:rStyle w:val="ui-provider"/>
        </w:rPr>
        <w:t xml:space="preserve"> the inter-UE CLI</w:t>
      </w:r>
      <w:r w:rsidR="00F612B4">
        <w:rPr>
          <w:rStyle w:val="ui-provider"/>
        </w:rPr>
        <w:t>.</w:t>
      </w:r>
      <w:r w:rsidR="008E69B5">
        <w:rPr>
          <w:rStyle w:val="ui-provider"/>
        </w:rPr>
        <w:t xml:space="preserve"> </w:t>
      </w:r>
    </w:p>
    <w:p w14:paraId="0404C933" w14:textId="251D7762" w:rsidR="00FB6166" w:rsidRDefault="00BF4EEA" w:rsidP="00981D2E">
      <w:pPr>
        <w:jc w:val="both"/>
        <w:rPr>
          <w:rStyle w:val="ui-provider"/>
        </w:rPr>
      </w:pPr>
      <w:r>
        <w:rPr>
          <w:rStyle w:val="ui-provider"/>
        </w:rPr>
        <w:t xml:space="preserve">The UE clustering distribution for the baseline setup is M=20 and X=2, while the optional setup is M=10 and X=1. R is the </w:t>
      </w:r>
      <w:r w:rsidR="00C24D93">
        <w:rPr>
          <w:rStyle w:val="ui-provider"/>
        </w:rPr>
        <w:t>cluster radius</w:t>
      </w:r>
      <w:r>
        <w:rPr>
          <w:rStyle w:val="ui-provider"/>
        </w:rPr>
        <w:t xml:space="preserve">, which is 25m for the evaluation and the results for other values of R may be submitted. </w:t>
      </w:r>
      <w:proofErr w:type="spellStart"/>
      <w:r>
        <w:rPr>
          <w:rStyle w:val="ui-provider"/>
        </w:rPr>
        <w:t>Dmacro</w:t>
      </w:r>
      <w:proofErr w:type="spellEnd"/>
      <w:r>
        <w:rPr>
          <w:rStyle w:val="ui-provider"/>
        </w:rPr>
        <w:t xml:space="preserve">-to-cluster is the </w:t>
      </w:r>
      <w:r w:rsidR="00E16257">
        <w:rPr>
          <w:rStyle w:val="ui-provider"/>
        </w:rPr>
        <w:t xml:space="preserve">minimum </w:t>
      </w:r>
      <w:r>
        <w:rPr>
          <w:rStyle w:val="ui-provider"/>
        </w:rPr>
        <w:t xml:space="preserve">distance between a macro gNB and the cluster, which is 35m+ R, and </w:t>
      </w:r>
      <w:proofErr w:type="spellStart"/>
      <w:r>
        <w:rPr>
          <w:rStyle w:val="ui-provider"/>
        </w:rPr>
        <w:t>Dinter</w:t>
      </w:r>
      <w:proofErr w:type="spellEnd"/>
      <w:r>
        <w:rPr>
          <w:rStyle w:val="ui-provider"/>
        </w:rPr>
        <w:t xml:space="preserve">-cluster is the </w:t>
      </w:r>
      <w:r w:rsidR="00E16257">
        <w:rPr>
          <w:rStyle w:val="ui-provider"/>
        </w:rPr>
        <w:t xml:space="preserve">minimum </w:t>
      </w:r>
      <w:r>
        <w:rPr>
          <w:rStyle w:val="ui-provider"/>
        </w:rPr>
        <w:t>distance between two clusters, which is 2R</w:t>
      </w:r>
      <w:r w:rsidR="00A56A5C">
        <w:rPr>
          <w:rStyle w:val="ui-provider"/>
        </w:rPr>
        <w:t xml:space="preserve"> </w:t>
      </w:r>
      <w:r>
        <w:rPr>
          <w:rStyle w:val="ui-provider"/>
        </w:rPr>
        <w:t>m. UEs within the clusters are indoors, with a mobility of 3km/h, while UEs outside the clusters are outdoors in a car with a mobility of 30km/h. The UE height is 1.5m for all UEs.</w:t>
      </w:r>
    </w:p>
    <w:p w14:paraId="51598741" w14:textId="105100FE" w:rsidR="002D7F63" w:rsidRDefault="00904BDF" w:rsidP="002D7F63">
      <w:pPr>
        <w:jc w:val="both"/>
      </w:pPr>
      <w:r>
        <w:rPr>
          <w:rStyle w:val="ui-provider"/>
        </w:rPr>
        <w:t>In this section, the DL interferences such as co-channel interference and inter-UE cross link interference are analysed.</w:t>
      </w:r>
      <w:r w:rsidR="002D7F63" w:rsidDel="002D7F63">
        <w:t xml:space="preserve"> </w:t>
      </w:r>
    </w:p>
    <w:p w14:paraId="3B005BBE" w14:textId="77777777" w:rsidR="00CB6711" w:rsidRDefault="002D7F63" w:rsidP="00CB6711">
      <w:pPr>
        <w:keepNext/>
        <w:jc w:val="center"/>
      </w:pPr>
      <w:r>
        <w:rPr>
          <w:noProof/>
        </w:rPr>
        <w:drawing>
          <wp:inline distT="0" distB="0" distL="0" distR="0" wp14:anchorId="42863394" wp14:editId="4AF2F157">
            <wp:extent cx="3142148" cy="2500342"/>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4021" t="3138" r="4984"/>
                    <a:stretch/>
                  </pic:blipFill>
                  <pic:spPr bwMode="auto">
                    <a:xfrm>
                      <a:off x="0" y="0"/>
                      <a:ext cx="3168848" cy="2521588"/>
                    </a:xfrm>
                    <a:prstGeom prst="rect">
                      <a:avLst/>
                    </a:prstGeom>
                    <a:ln>
                      <a:noFill/>
                    </a:ln>
                    <a:extLst>
                      <a:ext uri="{53640926-AAD7-44D8-BBD7-CCE9431645EC}">
                        <a14:shadowObscured xmlns:a14="http://schemas.microsoft.com/office/drawing/2010/main"/>
                      </a:ext>
                    </a:extLst>
                  </pic:spPr>
                </pic:pic>
              </a:graphicData>
            </a:graphic>
          </wp:inline>
        </w:drawing>
      </w:r>
    </w:p>
    <w:p w14:paraId="7CA1FA18" w14:textId="12A97E15" w:rsidR="002D7F63" w:rsidRDefault="00CB6711" w:rsidP="00CB6711">
      <w:pPr>
        <w:pStyle w:val="Caption"/>
        <w:jc w:val="center"/>
      </w:pPr>
      <w:bookmarkStart w:id="5" w:name="_Ref134781772"/>
      <w:r w:rsidRPr="006F5AEB">
        <w:rPr>
          <w:b w:val="0"/>
          <w:bCs/>
        </w:rPr>
        <w:t xml:space="preserve">Figure </w:t>
      </w:r>
      <w:r w:rsidRPr="006F5AEB">
        <w:rPr>
          <w:b w:val="0"/>
          <w:bCs/>
        </w:rPr>
        <w:fldChar w:fldCharType="begin"/>
      </w:r>
      <w:r w:rsidRPr="006F5AEB">
        <w:rPr>
          <w:b w:val="0"/>
          <w:bCs/>
        </w:rPr>
        <w:instrText xml:space="preserve"> SEQ Figure \* ARABIC </w:instrText>
      </w:r>
      <w:r w:rsidRPr="006F5AEB">
        <w:rPr>
          <w:b w:val="0"/>
          <w:bCs/>
        </w:rPr>
        <w:fldChar w:fldCharType="separate"/>
      </w:r>
      <w:r w:rsidR="00B758B7">
        <w:rPr>
          <w:b w:val="0"/>
          <w:bCs/>
          <w:noProof/>
        </w:rPr>
        <w:t>1</w:t>
      </w:r>
      <w:r w:rsidRPr="006F5AEB">
        <w:rPr>
          <w:b w:val="0"/>
          <w:bCs/>
        </w:rPr>
        <w:fldChar w:fldCharType="end"/>
      </w:r>
      <w:bookmarkEnd w:id="5"/>
      <w:r>
        <w:t xml:space="preserve">: </w:t>
      </w:r>
      <w:r w:rsidRPr="006F5AEB">
        <w:rPr>
          <w:b w:val="0"/>
          <w:bCs/>
        </w:rPr>
        <w:t>CCI over CLI ratio CDFs for UEs’ deployment with and without clustering</w:t>
      </w:r>
    </w:p>
    <w:p w14:paraId="6B634191" w14:textId="41561F7E" w:rsidR="004C6020" w:rsidRDefault="00EE0564" w:rsidP="00EC03D5">
      <w:pPr>
        <w:spacing w:after="120"/>
        <w:jc w:val="both"/>
        <w:rPr>
          <w:rStyle w:val="ui-provider"/>
        </w:rPr>
      </w:pPr>
      <w:r w:rsidRPr="00EE0564">
        <w:rPr>
          <w:rStyle w:val="ui-provider"/>
        </w:rPr>
        <w:fldChar w:fldCharType="begin"/>
      </w:r>
      <w:r w:rsidRPr="00EE0564">
        <w:rPr>
          <w:rStyle w:val="ui-provider"/>
        </w:rPr>
        <w:instrText xml:space="preserve"> REF _Ref134781772 \h  \* MERGEFORMAT </w:instrText>
      </w:r>
      <w:r w:rsidRPr="00EE0564">
        <w:rPr>
          <w:rStyle w:val="ui-provider"/>
        </w:rPr>
      </w:r>
      <w:r w:rsidRPr="00EE0564">
        <w:rPr>
          <w:rStyle w:val="ui-provider"/>
        </w:rPr>
        <w:fldChar w:fldCharType="separate"/>
      </w:r>
      <w:r w:rsidR="00B758B7" w:rsidRPr="00B758B7">
        <w:t xml:space="preserve">Figure </w:t>
      </w:r>
      <w:r w:rsidR="00B758B7" w:rsidRPr="00B758B7">
        <w:rPr>
          <w:noProof/>
        </w:rPr>
        <w:t>1</w:t>
      </w:r>
      <w:r w:rsidRPr="00EE0564">
        <w:rPr>
          <w:rStyle w:val="ui-provider"/>
        </w:rPr>
        <w:fldChar w:fldCharType="end"/>
      </w:r>
      <w:r>
        <w:rPr>
          <w:rStyle w:val="ui-provider"/>
        </w:rPr>
        <w:t xml:space="preserve"> </w:t>
      </w:r>
      <w:r w:rsidR="008C6C74">
        <w:rPr>
          <w:rStyle w:val="ui-provider"/>
        </w:rPr>
        <w:t>illustrates the ratio of CCI to Inter-UE CLI for clustered (with radius of 25m and 10m) and uniformly distributed deployments. The CDF plots demonstrate that the addition of the clusters leads to an increase in CLI over the CCI.</w:t>
      </w:r>
    </w:p>
    <w:p w14:paraId="096A0132" w14:textId="3C2A30DF" w:rsidR="00B73C71" w:rsidRDefault="00B73C71" w:rsidP="00A11AC2">
      <w:pPr>
        <w:spacing w:after="0"/>
        <w:jc w:val="both"/>
        <w:rPr>
          <w:rStyle w:val="ui-provider"/>
        </w:rPr>
      </w:pPr>
      <w:r w:rsidRPr="00EF4B7B">
        <w:rPr>
          <w:b/>
          <w:bCs/>
          <w:i/>
          <w:iCs/>
        </w:rPr>
        <w:t xml:space="preserve">Observation </w:t>
      </w:r>
      <w:r w:rsidRPr="00EF4B7B">
        <w:rPr>
          <w:b/>
          <w:bCs/>
          <w:i/>
          <w:iCs/>
        </w:rPr>
        <w:fldChar w:fldCharType="begin"/>
      </w:r>
      <w:r w:rsidRPr="00EF4B7B">
        <w:rPr>
          <w:b/>
          <w:bCs/>
          <w:i/>
          <w:iCs/>
        </w:rPr>
        <w:instrText xml:space="preserve"> SEQ Observation \* ARABIC </w:instrText>
      </w:r>
      <w:r w:rsidRPr="00EF4B7B">
        <w:rPr>
          <w:b/>
          <w:bCs/>
          <w:i/>
          <w:iCs/>
        </w:rPr>
        <w:fldChar w:fldCharType="separate"/>
      </w:r>
      <w:r w:rsidR="00B758B7">
        <w:rPr>
          <w:b/>
          <w:bCs/>
          <w:i/>
          <w:iCs/>
          <w:noProof/>
        </w:rPr>
        <w:t>2</w:t>
      </w:r>
      <w:r w:rsidRPr="00EF4B7B">
        <w:rPr>
          <w:b/>
          <w:bCs/>
          <w:i/>
          <w:iCs/>
        </w:rPr>
        <w:fldChar w:fldCharType="end"/>
      </w:r>
      <w:r w:rsidRPr="00EF4B7B">
        <w:t xml:space="preserve">: </w:t>
      </w:r>
      <w:bookmarkStart w:id="6" w:name="_Ref134784052"/>
      <w:r w:rsidRPr="00A32C2A">
        <w:rPr>
          <w:b/>
          <w:i/>
          <w:lang w:eastAsia="ko-KR"/>
        </w:rPr>
        <w:t>Inter-UE CLI has significant impact to the DL performance</w:t>
      </w:r>
      <w:r>
        <w:rPr>
          <w:b/>
          <w:i/>
          <w:lang w:eastAsia="ko-KR"/>
        </w:rPr>
        <w:t xml:space="preserve"> in clustered UE scenario</w:t>
      </w:r>
      <w:bookmarkEnd w:id="6"/>
    </w:p>
    <w:p w14:paraId="34F728A0" w14:textId="5DDB39D6" w:rsidR="004C6020" w:rsidRPr="002535CC" w:rsidRDefault="002535CC" w:rsidP="002535CC">
      <w:pPr>
        <w:pStyle w:val="Heading3"/>
        <w:spacing w:after="120"/>
        <w:jc w:val="both"/>
      </w:pPr>
      <w:r w:rsidRPr="002535CC">
        <w:t xml:space="preserve">Impact of </w:t>
      </w:r>
      <w:r w:rsidR="00902633">
        <w:t>intra/</w:t>
      </w:r>
      <w:r w:rsidRPr="002535CC">
        <w:t>inter-</w:t>
      </w:r>
      <w:r w:rsidR="00902633">
        <w:t>gNB</w:t>
      </w:r>
      <w:r w:rsidRPr="002535CC">
        <w:t xml:space="preserve"> CLI and SI in UL</w:t>
      </w:r>
    </w:p>
    <w:p w14:paraId="442B3FFB" w14:textId="20D62BA0" w:rsidR="00FE7996" w:rsidRDefault="00311963" w:rsidP="00EC03D5">
      <w:pPr>
        <w:spacing w:after="120"/>
        <w:jc w:val="both"/>
        <w:rPr>
          <w:rStyle w:val="ui-provider"/>
        </w:rPr>
      </w:pPr>
      <w:r>
        <w:rPr>
          <w:rStyle w:val="ui-provider"/>
        </w:rPr>
        <w:t xml:space="preserve">In the uplink </w:t>
      </w:r>
      <w:r w:rsidR="005020C6">
        <w:rPr>
          <w:rStyle w:val="ui-provider"/>
        </w:rPr>
        <w:t xml:space="preserve">interference </w:t>
      </w:r>
      <w:r>
        <w:rPr>
          <w:rStyle w:val="ui-provider"/>
        </w:rPr>
        <w:t xml:space="preserve">analysis, co-channel interference (CCI) and total leakage powers with two capabilities (RCIC and RSIC) are compared. RCIC is the ratio of co-site interference cancellation, while RSIC is the ratio of self-interference cancellation. Furthermore, the frequency isolation </w:t>
      </w:r>
      <w:r w:rsidR="00497F3B">
        <w:rPr>
          <w:rStyle w:val="ui-provider"/>
        </w:rPr>
        <w:t xml:space="preserve">in all cases </w:t>
      </w:r>
      <w:r>
        <w:rPr>
          <w:rStyle w:val="ui-provider"/>
        </w:rPr>
        <w:t>is modelled by the adjacent channel interference model (ACIR) with an ACLR</w:t>
      </w:r>
      <w:r w:rsidR="001D5F60">
        <w:rPr>
          <w:rStyle w:val="ui-provider"/>
        </w:rPr>
        <w:t xml:space="preserve"> of </w:t>
      </w:r>
      <w:r w:rsidR="00E233F7">
        <w:rPr>
          <w:rStyle w:val="ui-provider"/>
        </w:rPr>
        <w:t>45dB</w:t>
      </w:r>
      <w:r>
        <w:rPr>
          <w:rStyle w:val="ui-provider"/>
        </w:rPr>
        <w:t xml:space="preserve"> and ACS of 43dB. The RSIC capability is assumed to be 102 dB, which is considered the best value when accounting for a 1dB receiver sensitivity loss.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1"/>
      </w:tblGrid>
      <w:tr w:rsidR="00A65111" w14:paraId="2E8F9C1C" w14:textId="77777777" w:rsidTr="00985351">
        <w:tc>
          <w:tcPr>
            <w:tcW w:w="9641" w:type="dxa"/>
          </w:tcPr>
          <w:p w14:paraId="784FA24F" w14:textId="77777777" w:rsidR="00A65111" w:rsidRDefault="004D6FBF" w:rsidP="004D72D5">
            <w:pPr>
              <w:spacing w:after="0"/>
              <w:jc w:val="center"/>
              <w:rPr>
                <w:rStyle w:val="ui-provider"/>
              </w:rPr>
            </w:pPr>
            <w:r>
              <w:rPr>
                <w:noProof/>
              </w:rPr>
              <w:lastRenderedPageBreak/>
              <w:drawing>
                <wp:inline distT="0" distB="0" distL="0" distR="0" wp14:anchorId="31E8E2AD" wp14:editId="4F70E1B8">
                  <wp:extent cx="3959750" cy="2095083"/>
                  <wp:effectExtent l="0" t="0" r="3175"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14008" cy="2123791"/>
                          </a:xfrm>
                          <a:prstGeom prst="rect">
                            <a:avLst/>
                          </a:prstGeom>
                        </pic:spPr>
                      </pic:pic>
                    </a:graphicData>
                  </a:graphic>
                </wp:inline>
              </w:drawing>
            </w:r>
          </w:p>
          <w:p w14:paraId="1BF203FC" w14:textId="05079BE6" w:rsidR="00FE7996" w:rsidRDefault="006F5AEB" w:rsidP="004B7879">
            <w:pPr>
              <w:spacing w:after="120"/>
              <w:jc w:val="center"/>
              <w:rPr>
                <w:rStyle w:val="ui-provider"/>
              </w:rPr>
            </w:pPr>
            <w:bookmarkStart w:id="7" w:name="_Ref134781832"/>
            <w:r>
              <w:t xml:space="preserve">Figure </w:t>
            </w:r>
            <w:r>
              <w:fldChar w:fldCharType="begin"/>
            </w:r>
            <w:r>
              <w:instrText xml:space="preserve"> SEQ Figure \* ARABIC </w:instrText>
            </w:r>
            <w:r>
              <w:fldChar w:fldCharType="separate"/>
            </w:r>
            <w:r w:rsidR="00B758B7">
              <w:rPr>
                <w:noProof/>
              </w:rPr>
              <w:t>2</w:t>
            </w:r>
            <w:r>
              <w:fldChar w:fldCharType="end"/>
            </w:r>
            <w:bookmarkEnd w:id="7"/>
            <w:r>
              <w:t xml:space="preserve">: </w:t>
            </w:r>
            <w:r w:rsidR="004B7879">
              <w:rPr>
                <w:rStyle w:val="ui-provider"/>
              </w:rPr>
              <w:t>Comparison of CCI and total leakage power in UL</w:t>
            </w:r>
          </w:p>
        </w:tc>
      </w:tr>
    </w:tbl>
    <w:p w14:paraId="6DE887C1" w14:textId="6F8DE2F9" w:rsidR="004B7879" w:rsidRDefault="00F04E36" w:rsidP="004B7879">
      <w:pPr>
        <w:spacing w:after="120"/>
        <w:jc w:val="both"/>
        <w:rPr>
          <w:rStyle w:val="ui-provider"/>
        </w:rPr>
      </w:pPr>
      <w:r>
        <w:rPr>
          <w:rStyle w:val="ui-provider"/>
        </w:rPr>
        <w:t xml:space="preserve">From </w:t>
      </w:r>
      <w:r w:rsidR="00545207">
        <w:rPr>
          <w:rStyle w:val="ui-provider"/>
        </w:rPr>
        <w:fldChar w:fldCharType="begin"/>
      </w:r>
      <w:r w:rsidR="00545207">
        <w:rPr>
          <w:rStyle w:val="ui-provider"/>
        </w:rPr>
        <w:instrText xml:space="preserve"> REF _Ref134781832 \h </w:instrText>
      </w:r>
      <w:r w:rsidR="00545207">
        <w:rPr>
          <w:rStyle w:val="ui-provider"/>
        </w:rPr>
      </w:r>
      <w:r w:rsidR="00545207">
        <w:rPr>
          <w:rStyle w:val="ui-provider"/>
        </w:rPr>
        <w:fldChar w:fldCharType="separate"/>
      </w:r>
      <w:r w:rsidR="00B758B7">
        <w:t xml:space="preserve">Figure </w:t>
      </w:r>
      <w:r w:rsidR="00B758B7">
        <w:rPr>
          <w:noProof/>
        </w:rPr>
        <w:t>2</w:t>
      </w:r>
      <w:r w:rsidR="00545207">
        <w:rPr>
          <w:rStyle w:val="ui-provider"/>
        </w:rPr>
        <w:fldChar w:fldCharType="end"/>
      </w:r>
      <w:r>
        <w:rPr>
          <w:rStyle w:val="ui-provider"/>
        </w:rPr>
        <w:t xml:space="preserve">, it is evident that the UL reception is significantly impacted by the RCIC capability. </w:t>
      </w:r>
      <w:r w:rsidR="00C870CE">
        <w:rPr>
          <w:rStyle w:val="ui-provider"/>
        </w:rPr>
        <w:t>In this analysis</w:t>
      </w:r>
      <w:r w:rsidR="00CD5290">
        <w:rPr>
          <w:rStyle w:val="ui-provider"/>
        </w:rPr>
        <w:t>, the RSIC</w:t>
      </w:r>
      <w:r w:rsidR="00882DB4">
        <w:rPr>
          <w:rStyle w:val="ui-provider"/>
        </w:rPr>
        <w:t xml:space="preserve"> capability</w:t>
      </w:r>
      <w:r w:rsidR="00C870CE">
        <w:rPr>
          <w:rStyle w:val="ui-provider"/>
        </w:rPr>
        <w:t xml:space="preserve"> is </w:t>
      </w:r>
      <w:r w:rsidR="00E67988">
        <w:rPr>
          <w:rStyle w:val="ui-provider"/>
        </w:rPr>
        <w:t>assumed</w:t>
      </w:r>
      <w:r w:rsidR="00882DB4">
        <w:rPr>
          <w:rStyle w:val="ui-provider"/>
        </w:rPr>
        <w:t xml:space="preserve"> as 102 dB which is </w:t>
      </w:r>
      <w:r w:rsidR="00C870CE">
        <w:rPr>
          <w:rStyle w:val="ui-provider"/>
        </w:rPr>
        <w:t>considered to be the best value</w:t>
      </w:r>
      <w:r w:rsidR="00882DB4">
        <w:rPr>
          <w:rStyle w:val="ui-provider"/>
        </w:rPr>
        <w:t>. I</w:t>
      </w:r>
      <w:r w:rsidR="00C870CE">
        <w:rPr>
          <w:rStyle w:val="ui-provider"/>
        </w:rPr>
        <w:t>t is derived by assuming 1dB receiver sensitivity loss</w:t>
      </w:r>
      <w:r w:rsidR="00703105">
        <w:rPr>
          <w:rStyle w:val="ui-provider"/>
        </w:rPr>
        <w:t>.</w:t>
      </w:r>
    </w:p>
    <w:p w14:paraId="45454B35" w14:textId="172D4600" w:rsidR="00E01B1F" w:rsidRPr="00EF4B7B" w:rsidRDefault="00E01B1F" w:rsidP="00E01B1F">
      <w:pPr>
        <w:spacing w:after="0"/>
        <w:jc w:val="both"/>
      </w:pPr>
      <w:r w:rsidRPr="00EF4B7B">
        <w:rPr>
          <w:b/>
          <w:bCs/>
          <w:i/>
          <w:iCs/>
        </w:rPr>
        <w:t xml:space="preserve">Observation </w:t>
      </w:r>
      <w:r w:rsidRPr="00EF4B7B">
        <w:rPr>
          <w:b/>
          <w:bCs/>
          <w:i/>
          <w:iCs/>
        </w:rPr>
        <w:fldChar w:fldCharType="begin"/>
      </w:r>
      <w:r w:rsidRPr="00EF4B7B">
        <w:rPr>
          <w:b/>
          <w:bCs/>
          <w:i/>
          <w:iCs/>
        </w:rPr>
        <w:instrText xml:space="preserve"> SEQ Observation \* ARABIC </w:instrText>
      </w:r>
      <w:r w:rsidRPr="00EF4B7B">
        <w:rPr>
          <w:b/>
          <w:bCs/>
          <w:i/>
          <w:iCs/>
        </w:rPr>
        <w:fldChar w:fldCharType="separate"/>
      </w:r>
      <w:r w:rsidR="00B758B7">
        <w:rPr>
          <w:b/>
          <w:bCs/>
          <w:i/>
          <w:iCs/>
          <w:noProof/>
        </w:rPr>
        <w:t>3</w:t>
      </w:r>
      <w:r w:rsidRPr="00EF4B7B">
        <w:rPr>
          <w:b/>
          <w:bCs/>
          <w:i/>
          <w:iCs/>
        </w:rPr>
        <w:fldChar w:fldCharType="end"/>
      </w:r>
      <w:r w:rsidRPr="00EF4B7B">
        <w:t xml:space="preserve">: </w:t>
      </w:r>
      <w:bookmarkStart w:id="8" w:name="_Ref134784080"/>
      <w:r>
        <w:rPr>
          <w:b/>
          <w:i/>
          <w:lang w:eastAsia="ko-KR"/>
        </w:rPr>
        <w:t>Intra</w:t>
      </w:r>
      <w:r w:rsidRPr="00A32C2A">
        <w:rPr>
          <w:b/>
          <w:i/>
          <w:lang w:eastAsia="ko-KR"/>
        </w:rPr>
        <w:t>-</w:t>
      </w:r>
      <w:r>
        <w:rPr>
          <w:b/>
          <w:i/>
          <w:lang w:eastAsia="ko-KR"/>
        </w:rPr>
        <w:t>site gNB</w:t>
      </w:r>
      <w:r w:rsidRPr="00A32C2A">
        <w:rPr>
          <w:b/>
          <w:i/>
          <w:lang w:eastAsia="ko-KR"/>
        </w:rPr>
        <w:t xml:space="preserve"> CLI has significant impact to the </w:t>
      </w:r>
      <w:r>
        <w:rPr>
          <w:b/>
          <w:i/>
          <w:lang w:eastAsia="ko-KR"/>
        </w:rPr>
        <w:t>U</w:t>
      </w:r>
      <w:r w:rsidRPr="00A32C2A">
        <w:rPr>
          <w:b/>
          <w:i/>
          <w:lang w:eastAsia="ko-KR"/>
        </w:rPr>
        <w:t>L performance</w:t>
      </w:r>
      <w:bookmarkEnd w:id="8"/>
    </w:p>
    <w:p w14:paraId="0920A23E" w14:textId="6F2981D6" w:rsidR="00F75434" w:rsidRPr="002535CC" w:rsidRDefault="00F75434" w:rsidP="00F75434">
      <w:pPr>
        <w:pStyle w:val="Heading3"/>
        <w:spacing w:after="120"/>
        <w:jc w:val="both"/>
      </w:pPr>
      <w:r>
        <w:t>Spectral Efficiency</w:t>
      </w:r>
    </w:p>
    <w:p w14:paraId="262C5B5B" w14:textId="754332FA" w:rsidR="00FE7B9F" w:rsidRDefault="003F4ABC" w:rsidP="00EC03D5">
      <w:pPr>
        <w:spacing w:after="120"/>
        <w:jc w:val="both"/>
        <w:rPr>
          <w:rStyle w:val="ui-provider"/>
        </w:rPr>
      </w:pPr>
      <w:r>
        <w:rPr>
          <w:rStyle w:val="ui-provider"/>
        </w:rPr>
        <w:t>The spectral efficiency of both DL and UL are compared in the following cases.</w:t>
      </w:r>
    </w:p>
    <w:p w14:paraId="2E07932A" w14:textId="596E1F11" w:rsidR="003F4ABC" w:rsidRDefault="00031617" w:rsidP="003F4ABC">
      <w:pPr>
        <w:pStyle w:val="ListParagraph"/>
        <w:numPr>
          <w:ilvl w:val="0"/>
          <w:numId w:val="8"/>
        </w:numPr>
        <w:spacing w:after="120"/>
        <w:jc w:val="both"/>
        <w:rPr>
          <w:rStyle w:val="ui-provider"/>
        </w:rPr>
      </w:pPr>
      <w:r>
        <w:rPr>
          <w:rStyle w:val="ui-provider"/>
        </w:rPr>
        <w:t xml:space="preserve">Baseline case: without modelling of any </w:t>
      </w:r>
      <w:r w:rsidR="00FF3335">
        <w:rPr>
          <w:rStyle w:val="ui-provider"/>
        </w:rPr>
        <w:t>leakage power</w:t>
      </w:r>
      <w:r w:rsidR="004B4B92">
        <w:rPr>
          <w:rStyle w:val="ui-provider"/>
        </w:rPr>
        <w:t xml:space="preserve"> (ideal SBFD)</w:t>
      </w:r>
    </w:p>
    <w:p w14:paraId="1CC38F2F" w14:textId="1D3F67D2" w:rsidR="00FF3335" w:rsidRDefault="000422B9" w:rsidP="003F4ABC">
      <w:pPr>
        <w:pStyle w:val="ListParagraph"/>
        <w:numPr>
          <w:ilvl w:val="0"/>
          <w:numId w:val="8"/>
        </w:numPr>
        <w:spacing w:after="120"/>
        <w:jc w:val="both"/>
        <w:rPr>
          <w:rStyle w:val="ui-provider"/>
        </w:rPr>
      </w:pPr>
      <w:r>
        <w:rPr>
          <w:rStyle w:val="ui-provider"/>
        </w:rPr>
        <w:t>With modelling of</w:t>
      </w:r>
      <w:r w:rsidR="00DF36CB">
        <w:rPr>
          <w:rStyle w:val="ui-provider"/>
        </w:rPr>
        <w:t xml:space="preserve"> only</w:t>
      </w:r>
      <w:r>
        <w:rPr>
          <w:rStyle w:val="ui-provider"/>
        </w:rPr>
        <w:t xml:space="preserve"> inter-site gNB CLI</w:t>
      </w:r>
      <w:r w:rsidR="00DF36CB">
        <w:rPr>
          <w:rStyle w:val="ui-provider"/>
        </w:rPr>
        <w:t xml:space="preserve"> in UL</w:t>
      </w:r>
      <w:r>
        <w:rPr>
          <w:rStyle w:val="ui-provider"/>
        </w:rPr>
        <w:t xml:space="preserve"> and inter-UE CLI</w:t>
      </w:r>
      <w:r w:rsidR="00B33977">
        <w:rPr>
          <w:rStyle w:val="ui-provider"/>
        </w:rPr>
        <w:t xml:space="preserve"> </w:t>
      </w:r>
      <w:r w:rsidR="00DF36CB">
        <w:rPr>
          <w:rStyle w:val="ui-provider"/>
        </w:rPr>
        <w:t>in DL</w:t>
      </w:r>
    </w:p>
    <w:p w14:paraId="2241BAE4" w14:textId="612C77B6" w:rsidR="00B33977" w:rsidRDefault="00B33977" w:rsidP="003F4ABC">
      <w:pPr>
        <w:pStyle w:val="ListParagraph"/>
        <w:numPr>
          <w:ilvl w:val="0"/>
          <w:numId w:val="8"/>
        </w:numPr>
        <w:spacing w:after="120"/>
        <w:jc w:val="both"/>
        <w:rPr>
          <w:rStyle w:val="ui-provider"/>
        </w:rPr>
      </w:pPr>
      <w:r>
        <w:rPr>
          <w:rStyle w:val="ui-provider"/>
        </w:rPr>
        <w:t>With modelling of inter/intra-site gNB CLI</w:t>
      </w:r>
      <w:r w:rsidR="004B4B92">
        <w:rPr>
          <w:rStyle w:val="ui-provider"/>
        </w:rPr>
        <w:t xml:space="preserve"> and</w:t>
      </w:r>
      <w:r>
        <w:rPr>
          <w:rStyle w:val="ui-provider"/>
        </w:rPr>
        <w:t xml:space="preserve"> gNB SI</w:t>
      </w:r>
      <w:r w:rsidR="004B4B92">
        <w:rPr>
          <w:rStyle w:val="ui-provider"/>
        </w:rPr>
        <w:t xml:space="preserve"> in UL, and inter-UE CLI in DL</w:t>
      </w:r>
    </w:p>
    <w:p w14:paraId="01F95A36" w14:textId="1A679559" w:rsidR="00C66B97" w:rsidRDefault="00C66B97" w:rsidP="00C66B97">
      <w:pPr>
        <w:pStyle w:val="ListParagraph"/>
        <w:numPr>
          <w:ilvl w:val="1"/>
          <w:numId w:val="8"/>
        </w:numPr>
        <w:spacing w:after="120"/>
        <w:jc w:val="both"/>
        <w:rPr>
          <w:rStyle w:val="ui-provider"/>
        </w:rPr>
      </w:pPr>
      <w:r>
        <w:rPr>
          <w:rStyle w:val="ui-provider"/>
        </w:rPr>
        <w:t>RSIC = 0dB and RSIC = 0dB</w:t>
      </w:r>
    </w:p>
    <w:p w14:paraId="010AE81D" w14:textId="5F1B8EE7" w:rsidR="00C66B97" w:rsidRDefault="00C66B97" w:rsidP="00C66B97">
      <w:pPr>
        <w:pStyle w:val="ListParagraph"/>
        <w:numPr>
          <w:ilvl w:val="1"/>
          <w:numId w:val="8"/>
        </w:numPr>
        <w:spacing w:after="120"/>
        <w:jc w:val="both"/>
        <w:rPr>
          <w:rStyle w:val="ui-provider"/>
        </w:rPr>
      </w:pPr>
      <w:r>
        <w:rPr>
          <w:rStyle w:val="ui-provider"/>
        </w:rPr>
        <w:t xml:space="preserve">RSIC = 102dB and RSIC = </w:t>
      </w:r>
      <w:r w:rsidR="00773015">
        <w:rPr>
          <w:rStyle w:val="ui-provider"/>
        </w:rPr>
        <w:t>75</w:t>
      </w:r>
      <w:r>
        <w:rPr>
          <w:rStyle w:val="ui-provider"/>
        </w:rPr>
        <w:t>dB</w:t>
      </w:r>
    </w:p>
    <w:p w14:paraId="6EFF9BB9" w14:textId="3B0E020F" w:rsidR="00C66B97" w:rsidRDefault="00C66B97" w:rsidP="00C66B97">
      <w:pPr>
        <w:pStyle w:val="ListParagraph"/>
        <w:numPr>
          <w:ilvl w:val="1"/>
          <w:numId w:val="8"/>
        </w:numPr>
        <w:spacing w:after="120"/>
        <w:jc w:val="both"/>
        <w:rPr>
          <w:rStyle w:val="ui-provider"/>
        </w:rPr>
      </w:pPr>
      <w:r>
        <w:rPr>
          <w:rStyle w:val="ui-provider"/>
        </w:rPr>
        <w:t xml:space="preserve">RSIC = </w:t>
      </w:r>
      <w:r w:rsidR="00773015">
        <w:rPr>
          <w:rStyle w:val="ui-provider"/>
        </w:rPr>
        <w:t>1</w:t>
      </w:r>
      <w:r>
        <w:rPr>
          <w:rStyle w:val="ui-provider"/>
        </w:rPr>
        <w:t>0</w:t>
      </w:r>
      <w:r w:rsidR="00773015">
        <w:rPr>
          <w:rStyle w:val="ui-provider"/>
        </w:rPr>
        <w:t>2</w:t>
      </w:r>
      <w:r>
        <w:rPr>
          <w:rStyle w:val="ui-provider"/>
        </w:rPr>
        <w:t xml:space="preserve">dB and RSIC = </w:t>
      </w:r>
      <w:r w:rsidR="00773015">
        <w:rPr>
          <w:rStyle w:val="ui-provider"/>
        </w:rPr>
        <w:t>100</w:t>
      </w:r>
      <w:r>
        <w:rPr>
          <w:rStyle w:val="ui-provider"/>
        </w:rPr>
        <w:t>dB</w:t>
      </w:r>
    </w:p>
    <w:p w14:paraId="63D4190A" w14:textId="28896333" w:rsidR="00EB37DE" w:rsidRDefault="00505E26" w:rsidP="00EC03D5">
      <w:pPr>
        <w:spacing w:after="120"/>
        <w:jc w:val="both"/>
        <w:rPr>
          <w:rStyle w:val="ui-provider"/>
        </w:rPr>
      </w:pPr>
      <w:r>
        <w:rPr>
          <w:lang w:val="en-US"/>
        </w:rPr>
        <w:fldChar w:fldCharType="begin"/>
      </w:r>
      <w:r>
        <w:rPr>
          <w:lang w:val="en-US"/>
        </w:rPr>
        <w:instrText xml:space="preserve"> REF _Ref134781923 \h </w:instrText>
      </w:r>
      <w:r>
        <w:rPr>
          <w:lang w:val="en-US"/>
        </w:rPr>
      </w:r>
      <w:r>
        <w:rPr>
          <w:lang w:val="en-US"/>
        </w:rPr>
        <w:fldChar w:fldCharType="separate"/>
      </w:r>
      <w:r w:rsidR="00B758B7" w:rsidRPr="00B80335">
        <w:t xml:space="preserve">Table </w:t>
      </w:r>
      <w:r w:rsidR="00B758B7">
        <w:rPr>
          <w:noProof/>
        </w:rPr>
        <w:t>2</w:t>
      </w:r>
      <w:r>
        <w:rPr>
          <w:lang w:val="en-US"/>
        </w:rPr>
        <w:fldChar w:fldCharType="end"/>
      </w:r>
      <w:r>
        <w:rPr>
          <w:lang w:val="en-US"/>
        </w:rPr>
        <w:t xml:space="preserve"> </w:t>
      </w:r>
      <w:r w:rsidR="0043239D">
        <w:rPr>
          <w:lang w:val="en-US"/>
        </w:rPr>
        <w:t>shows the absolute values of spectral efficiency</w:t>
      </w:r>
      <w:r w:rsidR="00B61DF9">
        <w:rPr>
          <w:lang w:val="en-US"/>
        </w:rPr>
        <w:t xml:space="preserve"> (SE)</w:t>
      </w:r>
      <w:r w:rsidR="0043239D">
        <w:rPr>
          <w:lang w:val="en-US"/>
        </w:rPr>
        <w:t xml:space="preserve"> and </w:t>
      </w:r>
      <w:r w:rsidR="009D19A3">
        <w:rPr>
          <w:lang w:val="en-US"/>
        </w:rPr>
        <w:fldChar w:fldCharType="begin"/>
      </w:r>
      <w:r w:rsidR="009D19A3">
        <w:rPr>
          <w:lang w:val="en-US"/>
        </w:rPr>
        <w:instrText xml:space="preserve"> REF _Ref134781951 \h </w:instrText>
      </w:r>
      <w:r w:rsidR="009D19A3">
        <w:rPr>
          <w:lang w:val="en-US"/>
        </w:rPr>
      </w:r>
      <w:r w:rsidR="009D19A3">
        <w:rPr>
          <w:lang w:val="en-US"/>
        </w:rPr>
        <w:fldChar w:fldCharType="separate"/>
      </w:r>
      <w:r w:rsidR="00B758B7">
        <w:t xml:space="preserve">Figure </w:t>
      </w:r>
      <w:r w:rsidR="00B758B7">
        <w:rPr>
          <w:noProof/>
        </w:rPr>
        <w:t>3</w:t>
      </w:r>
      <w:r w:rsidR="009D19A3">
        <w:rPr>
          <w:lang w:val="en-US"/>
        </w:rPr>
        <w:fldChar w:fldCharType="end"/>
      </w:r>
      <w:r w:rsidR="0043239D">
        <w:rPr>
          <w:lang w:val="en-US"/>
        </w:rPr>
        <w:t xml:space="preserve"> shows the S</w:t>
      </w:r>
      <w:r w:rsidR="00B61DF9">
        <w:rPr>
          <w:lang w:val="en-US"/>
        </w:rPr>
        <w:t>E loss</w:t>
      </w:r>
      <w:r w:rsidR="0043239D">
        <w:rPr>
          <w:lang w:val="en-US"/>
        </w:rPr>
        <w:t xml:space="preserve"> of SBFD </w:t>
      </w:r>
      <w:r w:rsidR="00B61DF9">
        <w:rPr>
          <w:lang w:val="en-US"/>
        </w:rPr>
        <w:t>due to the different cross-link interference</w:t>
      </w:r>
      <w:r w:rsidR="00100821">
        <w:rPr>
          <w:lang w:val="en-US"/>
        </w:rPr>
        <w:t>s and gNB self-interference</w:t>
      </w:r>
      <w:r w:rsidR="0043239D">
        <w:rPr>
          <w:lang w:val="en-US"/>
        </w:rPr>
        <w:t>.</w:t>
      </w:r>
    </w:p>
    <w:p w14:paraId="6FD4F822" w14:textId="4E0F398C" w:rsidR="00FF4FB4" w:rsidRDefault="00B80335" w:rsidP="007101B0">
      <w:pPr>
        <w:spacing w:after="120"/>
        <w:jc w:val="center"/>
        <w:rPr>
          <w:rStyle w:val="ui-provider"/>
        </w:rPr>
      </w:pPr>
      <w:bookmarkStart w:id="9" w:name="_Ref134781923"/>
      <w:r w:rsidRPr="00B80335">
        <w:t xml:space="preserve">Table </w:t>
      </w:r>
      <w:r w:rsidRPr="00B80335">
        <w:fldChar w:fldCharType="begin"/>
      </w:r>
      <w:r w:rsidRPr="00B80335">
        <w:instrText xml:space="preserve"> SEQ Table \* ARABIC </w:instrText>
      </w:r>
      <w:r w:rsidRPr="00B80335">
        <w:fldChar w:fldCharType="separate"/>
      </w:r>
      <w:r w:rsidR="00B758B7">
        <w:rPr>
          <w:noProof/>
        </w:rPr>
        <w:t>2</w:t>
      </w:r>
      <w:r w:rsidRPr="00B80335">
        <w:fldChar w:fldCharType="end"/>
      </w:r>
      <w:bookmarkEnd w:id="9"/>
      <w:r w:rsidRPr="00B80335">
        <w:t>:</w:t>
      </w:r>
      <w:r w:rsidRPr="003A1B8E">
        <w:rPr>
          <w:b/>
          <w:bCs/>
        </w:rPr>
        <w:t xml:space="preserve"> </w:t>
      </w:r>
      <w:r w:rsidR="00773015">
        <w:rPr>
          <w:rStyle w:val="ui-provider"/>
        </w:rPr>
        <w:t>Spectral Efficiency</w:t>
      </w:r>
      <w:r w:rsidR="00705E0C">
        <w:rPr>
          <w:rStyle w:val="ui-provider"/>
        </w:rPr>
        <w:t xml:space="preserve"> (absolute values)</w:t>
      </w:r>
    </w:p>
    <w:tbl>
      <w:tblPr>
        <w:tblStyle w:val="ListTable3-Accent1"/>
        <w:tblW w:w="9561" w:type="dxa"/>
        <w:tblLook w:val="0420" w:firstRow="1" w:lastRow="0" w:firstColumn="0" w:lastColumn="0" w:noHBand="0" w:noVBand="1"/>
      </w:tblPr>
      <w:tblGrid>
        <w:gridCol w:w="600"/>
        <w:gridCol w:w="1435"/>
        <w:gridCol w:w="1862"/>
        <w:gridCol w:w="1812"/>
        <w:gridCol w:w="1796"/>
        <w:gridCol w:w="2056"/>
      </w:tblGrid>
      <w:tr w:rsidR="0091724E" w:rsidRPr="00264161" w14:paraId="1C105F35" w14:textId="77777777" w:rsidTr="002317BF">
        <w:trPr>
          <w:cnfStyle w:val="100000000000" w:firstRow="1" w:lastRow="0" w:firstColumn="0" w:lastColumn="0" w:oddVBand="0" w:evenVBand="0" w:oddHBand="0" w:evenHBand="0" w:firstRowFirstColumn="0" w:firstRowLastColumn="0" w:lastRowFirstColumn="0" w:lastRowLastColumn="0"/>
          <w:trHeight w:val="618"/>
        </w:trPr>
        <w:tc>
          <w:tcPr>
            <w:tcW w:w="600" w:type="dxa"/>
            <w:vMerge w:val="restart"/>
            <w:hideMark/>
          </w:tcPr>
          <w:p w14:paraId="5D57EC84" w14:textId="77777777" w:rsidR="0091724E" w:rsidRPr="00264161" w:rsidRDefault="0091724E" w:rsidP="0091724E">
            <w:pPr>
              <w:spacing w:after="0"/>
              <w:rPr>
                <w:rFonts w:eastAsia="Times New Roman"/>
                <w:lang w:val="en-US" w:eastAsia="zh-CN"/>
              </w:rPr>
            </w:pPr>
          </w:p>
        </w:tc>
        <w:tc>
          <w:tcPr>
            <w:tcW w:w="1435" w:type="dxa"/>
            <w:vMerge w:val="restart"/>
            <w:hideMark/>
          </w:tcPr>
          <w:p w14:paraId="11197852" w14:textId="77777777" w:rsidR="0091724E" w:rsidRPr="00264161" w:rsidRDefault="0091724E" w:rsidP="0091724E">
            <w:pPr>
              <w:spacing w:after="0"/>
              <w:jc w:val="center"/>
              <w:rPr>
                <w:rFonts w:eastAsia="Times New Roman"/>
                <w:lang w:val="en-US" w:eastAsia="zh-CN"/>
              </w:rPr>
            </w:pPr>
            <w:r w:rsidRPr="00264161">
              <w:rPr>
                <w:rFonts w:eastAsia="Times New Roman"/>
                <w:color w:val="FFFFFF" w:themeColor="light1"/>
                <w:kern w:val="24"/>
                <w:lang w:val="en-US" w:eastAsia="zh-CN"/>
              </w:rPr>
              <w:t>w/o CLI and SI</w:t>
            </w:r>
          </w:p>
          <w:p w14:paraId="192998A4" w14:textId="77777777" w:rsidR="0091724E" w:rsidRPr="00264161" w:rsidRDefault="0091724E" w:rsidP="0091724E">
            <w:pPr>
              <w:spacing w:after="0"/>
              <w:jc w:val="center"/>
              <w:rPr>
                <w:rFonts w:eastAsia="Times New Roman"/>
                <w:lang w:val="en-US" w:eastAsia="zh-CN"/>
              </w:rPr>
            </w:pPr>
            <w:r w:rsidRPr="00264161">
              <w:rPr>
                <w:rFonts w:eastAsia="Times New Roman"/>
                <w:color w:val="FFFFFF" w:themeColor="light1"/>
                <w:kern w:val="24"/>
                <w:lang w:val="en-US" w:eastAsia="zh-CN"/>
              </w:rPr>
              <w:t>(Baseline)</w:t>
            </w:r>
          </w:p>
        </w:tc>
        <w:tc>
          <w:tcPr>
            <w:tcW w:w="1862" w:type="dxa"/>
            <w:vMerge w:val="restart"/>
            <w:hideMark/>
          </w:tcPr>
          <w:p w14:paraId="6BD17D8E" w14:textId="6D241963" w:rsidR="0091724E" w:rsidRPr="00264161" w:rsidRDefault="0091724E" w:rsidP="0091724E">
            <w:pPr>
              <w:spacing w:after="0"/>
              <w:jc w:val="center"/>
              <w:rPr>
                <w:rFonts w:eastAsia="Times New Roman"/>
                <w:lang w:val="en-US" w:eastAsia="zh-CN"/>
              </w:rPr>
            </w:pPr>
            <w:r w:rsidRPr="00264161">
              <w:rPr>
                <w:rFonts w:eastAsia="Times New Roman"/>
                <w:color w:val="FFFFFF" w:themeColor="light1"/>
                <w:kern w:val="24"/>
                <w:lang w:val="en-US" w:eastAsia="zh-CN"/>
              </w:rPr>
              <w:t>with inter-site gNB CLI</w:t>
            </w:r>
            <w:r w:rsidR="002317BF">
              <w:rPr>
                <w:rFonts w:eastAsia="Times New Roman"/>
                <w:color w:val="FFFFFF" w:themeColor="light1"/>
                <w:kern w:val="24"/>
                <w:lang w:val="en-US" w:eastAsia="zh-CN"/>
              </w:rPr>
              <w:t xml:space="preserve"> in UL</w:t>
            </w:r>
            <w:r w:rsidRPr="00264161">
              <w:rPr>
                <w:rFonts w:eastAsia="Times New Roman"/>
                <w:color w:val="FFFFFF" w:themeColor="light1"/>
                <w:kern w:val="24"/>
                <w:lang w:val="en-US" w:eastAsia="zh-CN"/>
              </w:rPr>
              <w:t xml:space="preserve"> and inter-UE CLI</w:t>
            </w:r>
            <w:r w:rsidR="002317BF">
              <w:rPr>
                <w:rFonts w:eastAsia="Times New Roman"/>
                <w:color w:val="FFFFFF" w:themeColor="light1"/>
                <w:kern w:val="24"/>
                <w:lang w:val="en-US" w:eastAsia="zh-CN"/>
              </w:rPr>
              <w:t xml:space="preserve"> in DL</w:t>
            </w:r>
            <w:r w:rsidRPr="00264161">
              <w:rPr>
                <w:rFonts w:eastAsia="Times New Roman"/>
                <w:color w:val="FFFFFF" w:themeColor="light1"/>
                <w:kern w:val="24"/>
                <w:lang w:val="en-US" w:eastAsia="zh-CN"/>
              </w:rPr>
              <w:t xml:space="preserve"> </w:t>
            </w:r>
          </w:p>
        </w:tc>
        <w:tc>
          <w:tcPr>
            <w:tcW w:w="5664" w:type="dxa"/>
            <w:gridSpan w:val="3"/>
            <w:hideMark/>
          </w:tcPr>
          <w:p w14:paraId="2979F892" w14:textId="77777777" w:rsidR="0091724E" w:rsidRDefault="0091724E" w:rsidP="0091724E">
            <w:pPr>
              <w:spacing w:after="0"/>
              <w:jc w:val="center"/>
              <w:rPr>
                <w:rFonts w:eastAsia="Times New Roman"/>
                <w:b w:val="0"/>
                <w:bCs w:val="0"/>
                <w:color w:val="FFFFFF" w:themeColor="light1"/>
                <w:kern w:val="24"/>
                <w:lang w:val="en-US" w:eastAsia="zh-CN"/>
              </w:rPr>
            </w:pPr>
            <w:r w:rsidRPr="00264161">
              <w:rPr>
                <w:rFonts w:eastAsia="Times New Roman"/>
                <w:color w:val="FFFFFF" w:themeColor="light1"/>
                <w:kern w:val="24"/>
                <w:lang w:val="en-US" w:eastAsia="zh-CN"/>
              </w:rPr>
              <w:t>with inter-site-CLI + co-site CLI + gNB-SI</w:t>
            </w:r>
            <w:r w:rsidR="002317BF">
              <w:rPr>
                <w:rFonts w:eastAsia="Times New Roman"/>
                <w:color w:val="FFFFFF" w:themeColor="light1"/>
                <w:kern w:val="24"/>
                <w:lang w:val="en-US" w:eastAsia="zh-CN"/>
              </w:rPr>
              <w:t xml:space="preserve"> in UL</w:t>
            </w:r>
          </w:p>
          <w:p w14:paraId="5ECA9058" w14:textId="7D20A169" w:rsidR="002317BF" w:rsidRPr="00264161" w:rsidRDefault="002317BF" w:rsidP="0091724E">
            <w:pPr>
              <w:spacing w:after="0"/>
              <w:jc w:val="center"/>
              <w:rPr>
                <w:rFonts w:eastAsia="Times New Roman"/>
                <w:lang w:val="en-US" w:eastAsia="zh-CN"/>
              </w:rPr>
            </w:pPr>
            <w:r>
              <w:rPr>
                <w:rFonts w:eastAsia="Times New Roman"/>
                <w:color w:val="FFFFFF" w:themeColor="light1"/>
                <w:kern w:val="24"/>
                <w:lang w:val="en-US" w:eastAsia="zh-CN"/>
              </w:rPr>
              <w:t xml:space="preserve">and </w:t>
            </w:r>
            <w:r w:rsidRPr="00264161">
              <w:rPr>
                <w:rFonts w:eastAsia="Times New Roman"/>
                <w:color w:val="FFFFFF" w:themeColor="light1"/>
                <w:kern w:val="24"/>
                <w:lang w:val="en-US" w:eastAsia="zh-CN"/>
              </w:rPr>
              <w:t>inter-UE CLI</w:t>
            </w:r>
            <w:r>
              <w:rPr>
                <w:rFonts w:eastAsia="Times New Roman"/>
                <w:color w:val="FFFFFF" w:themeColor="light1"/>
                <w:kern w:val="24"/>
                <w:lang w:val="en-US" w:eastAsia="zh-CN"/>
              </w:rPr>
              <w:t xml:space="preserve"> in DL</w:t>
            </w:r>
          </w:p>
        </w:tc>
      </w:tr>
      <w:tr w:rsidR="0091724E" w:rsidRPr="00264161" w14:paraId="45FC581F" w14:textId="77777777" w:rsidTr="002317BF">
        <w:trPr>
          <w:cnfStyle w:val="000000100000" w:firstRow="0" w:lastRow="0" w:firstColumn="0" w:lastColumn="0" w:oddVBand="0" w:evenVBand="0" w:oddHBand="1" w:evenHBand="0" w:firstRowFirstColumn="0" w:firstRowLastColumn="0" w:lastRowFirstColumn="0" w:lastRowLastColumn="0"/>
          <w:trHeight w:val="618"/>
        </w:trPr>
        <w:tc>
          <w:tcPr>
            <w:tcW w:w="0" w:type="auto"/>
            <w:vMerge/>
            <w:hideMark/>
          </w:tcPr>
          <w:p w14:paraId="3B21228F" w14:textId="77777777" w:rsidR="0091724E" w:rsidRPr="00264161" w:rsidRDefault="0091724E" w:rsidP="0091724E">
            <w:pPr>
              <w:spacing w:after="0"/>
              <w:rPr>
                <w:rFonts w:eastAsia="Times New Roman"/>
                <w:lang w:val="en-US" w:eastAsia="zh-CN"/>
              </w:rPr>
            </w:pPr>
          </w:p>
        </w:tc>
        <w:tc>
          <w:tcPr>
            <w:tcW w:w="0" w:type="auto"/>
            <w:vMerge/>
            <w:hideMark/>
          </w:tcPr>
          <w:p w14:paraId="0137AB88" w14:textId="77777777" w:rsidR="0091724E" w:rsidRPr="00264161" w:rsidRDefault="0091724E" w:rsidP="0091724E">
            <w:pPr>
              <w:spacing w:after="0"/>
              <w:rPr>
                <w:rFonts w:eastAsia="Times New Roman"/>
                <w:lang w:val="en-US" w:eastAsia="zh-CN"/>
              </w:rPr>
            </w:pPr>
          </w:p>
        </w:tc>
        <w:tc>
          <w:tcPr>
            <w:tcW w:w="0" w:type="auto"/>
            <w:vMerge/>
            <w:hideMark/>
          </w:tcPr>
          <w:p w14:paraId="4FBC433E" w14:textId="77777777" w:rsidR="0091724E" w:rsidRPr="00264161" w:rsidRDefault="0091724E" w:rsidP="0091724E">
            <w:pPr>
              <w:spacing w:after="0"/>
              <w:rPr>
                <w:rFonts w:eastAsia="Times New Roman"/>
                <w:lang w:val="en-US" w:eastAsia="zh-CN"/>
              </w:rPr>
            </w:pPr>
          </w:p>
        </w:tc>
        <w:tc>
          <w:tcPr>
            <w:tcW w:w="1812" w:type="dxa"/>
            <w:hideMark/>
          </w:tcPr>
          <w:p w14:paraId="046C7C44" w14:textId="77777777" w:rsidR="0091724E" w:rsidRPr="00264161" w:rsidRDefault="0091724E" w:rsidP="0091724E">
            <w:pPr>
              <w:spacing w:after="0"/>
              <w:jc w:val="center"/>
              <w:rPr>
                <w:rFonts w:eastAsia="Times New Roman"/>
                <w:lang w:val="en-US" w:eastAsia="zh-CN"/>
              </w:rPr>
            </w:pPr>
            <w:r w:rsidRPr="00264161">
              <w:rPr>
                <w:rFonts w:eastAsia="Times New Roman"/>
                <w:b/>
                <w:bCs/>
                <w:color w:val="000000" w:themeColor="dark1"/>
                <w:kern w:val="24"/>
                <w:lang w:val="en-US" w:eastAsia="zh-CN"/>
              </w:rPr>
              <w:t>RSIC = 0 dB, RCIC = 0 dB</w:t>
            </w:r>
          </w:p>
        </w:tc>
        <w:tc>
          <w:tcPr>
            <w:tcW w:w="1796" w:type="dxa"/>
            <w:hideMark/>
          </w:tcPr>
          <w:p w14:paraId="50E7FA5E" w14:textId="77777777" w:rsidR="0091724E" w:rsidRPr="00264161" w:rsidRDefault="0091724E" w:rsidP="0091724E">
            <w:pPr>
              <w:spacing w:after="0"/>
              <w:jc w:val="center"/>
              <w:rPr>
                <w:rFonts w:eastAsia="Times New Roman"/>
                <w:lang w:val="en-US" w:eastAsia="zh-CN"/>
              </w:rPr>
            </w:pPr>
            <w:r w:rsidRPr="00264161">
              <w:rPr>
                <w:rFonts w:eastAsia="Times New Roman"/>
                <w:b/>
                <w:bCs/>
                <w:color w:val="000000" w:themeColor="dark1"/>
                <w:kern w:val="24"/>
                <w:lang w:val="en-US" w:eastAsia="zh-CN"/>
              </w:rPr>
              <w:t>RSIC = 102 dB, RCIC = 75 dB</w:t>
            </w:r>
          </w:p>
        </w:tc>
        <w:tc>
          <w:tcPr>
            <w:tcW w:w="2056" w:type="dxa"/>
            <w:hideMark/>
          </w:tcPr>
          <w:p w14:paraId="6E7CD4CB" w14:textId="77777777" w:rsidR="0091724E" w:rsidRPr="00264161" w:rsidRDefault="0091724E" w:rsidP="0091724E">
            <w:pPr>
              <w:spacing w:after="0"/>
              <w:jc w:val="center"/>
              <w:rPr>
                <w:rFonts w:eastAsia="Times New Roman"/>
                <w:lang w:val="en-US" w:eastAsia="zh-CN"/>
              </w:rPr>
            </w:pPr>
            <w:r w:rsidRPr="00264161">
              <w:rPr>
                <w:rFonts w:eastAsia="Times New Roman"/>
                <w:b/>
                <w:bCs/>
                <w:color w:val="000000" w:themeColor="dark1"/>
                <w:kern w:val="24"/>
                <w:lang w:val="en-US" w:eastAsia="zh-CN"/>
              </w:rPr>
              <w:t>RSIC = 102 dB, RCIC = 100 dB</w:t>
            </w:r>
          </w:p>
        </w:tc>
      </w:tr>
      <w:tr w:rsidR="0091724E" w:rsidRPr="00264161" w14:paraId="23999C3A" w14:textId="77777777" w:rsidTr="002317BF">
        <w:trPr>
          <w:trHeight w:val="18"/>
        </w:trPr>
        <w:tc>
          <w:tcPr>
            <w:tcW w:w="600" w:type="dxa"/>
            <w:hideMark/>
          </w:tcPr>
          <w:p w14:paraId="7CCD7825" w14:textId="77777777" w:rsidR="0091724E" w:rsidRPr="00264161" w:rsidRDefault="0091724E" w:rsidP="0091724E">
            <w:pPr>
              <w:spacing w:after="0"/>
              <w:jc w:val="center"/>
              <w:rPr>
                <w:rFonts w:eastAsia="Times New Roman"/>
                <w:lang w:val="en-US" w:eastAsia="zh-CN"/>
              </w:rPr>
            </w:pPr>
            <w:r w:rsidRPr="00264161">
              <w:rPr>
                <w:rFonts w:eastAsia="Times New Roman"/>
                <w:b/>
                <w:bCs/>
                <w:color w:val="000000" w:themeColor="dark1"/>
                <w:kern w:val="24"/>
                <w:lang w:val="en-US" w:eastAsia="zh-CN"/>
              </w:rPr>
              <w:t>DL</w:t>
            </w:r>
          </w:p>
        </w:tc>
        <w:tc>
          <w:tcPr>
            <w:tcW w:w="1435" w:type="dxa"/>
            <w:hideMark/>
          </w:tcPr>
          <w:p w14:paraId="7187304E" w14:textId="77777777" w:rsidR="0091724E" w:rsidRPr="00264161" w:rsidRDefault="0091724E" w:rsidP="0091724E">
            <w:pPr>
              <w:spacing w:after="0"/>
              <w:jc w:val="center"/>
              <w:textAlignment w:val="bottom"/>
              <w:rPr>
                <w:rFonts w:eastAsia="Times New Roman"/>
                <w:lang w:val="en-US" w:eastAsia="zh-CN"/>
              </w:rPr>
            </w:pPr>
            <w:r w:rsidRPr="00264161">
              <w:rPr>
                <w:rFonts w:eastAsia="Times New Roman"/>
                <w:color w:val="000000"/>
                <w:kern w:val="24"/>
                <w:lang w:val="en-US" w:eastAsia="zh-CN"/>
              </w:rPr>
              <w:t>4.14</w:t>
            </w:r>
          </w:p>
        </w:tc>
        <w:tc>
          <w:tcPr>
            <w:tcW w:w="1862" w:type="dxa"/>
            <w:hideMark/>
          </w:tcPr>
          <w:p w14:paraId="6A550CC1" w14:textId="77777777" w:rsidR="0091724E" w:rsidRPr="00264161" w:rsidRDefault="0091724E" w:rsidP="0091724E">
            <w:pPr>
              <w:spacing w:after="0"/>
              <w:jc w:val="center"/>
              <w:textAlignment w:val="bottom"/>
              <w:rPr>
                <w:rFonts w:eastAsia="Times New Roman"/>
                <w:lang w:val="en-US" w:eastAsia="zh-CN"/>
              </w:rPr>
            </w:pPr>
            <w:r w:rsidRPr="00264161">
              <w:rPr>
                <w:rFonts w:eastAsia="Times New Roman"/>
                <w:color w:val="000000"/>
                <w:kern w:val="24"/>
                <w:lang w:val="en-US" w:eastAsia="zh-CN"/>
              </w:rPr>
              <w:t>3.27</w:t>
            </w:r>
          </w:p>
        </w:tc>
        <w:tc>
          <w:tcPr>
            <w:tcW w:w="1812" w:type="dxa"/>
            <w:hideMark/>
          </w:tcPr>
          <w:p w14:paraId="5BD74205" w14:textId="77777777" w:rsidR="0091724E" w:rsidRPr="00264161" w:rsidRDefault="0091724E" w:rsidP="0091724E">
            <w:pPr>
              <w:spacing w:after="0"/>
              <w:jc w:val="center"/>
              <w:textAlignment w:val="bottom"/>
              <w:rPr>
                <w:rFonts w:eastAsia="Times New Roman"/>
                <w:lang w:val="en-US" w:eastAsia="zh-CN"/>
              </w:rPr>
            </w:pPr>
            <w:r w:rsidRPr="00264161">
              <w:rPr>
                <w:rFonts w:eastAsia="Times New Roman"/>
                <w:color w:val="000000"/>
                <w:kern w:val="24"/>
                <w:lang w:val="en-US" w:eastAsia="zh-CN"/>
              </w:rPr>
              <w:t>3.35</w:t>
            </w:r>
          </w:p>
        </w:tc>
        <w:tc>
          <w:tcPr>
            <w:tcW w:w="1796" w:type="dxa"/>
            <w:hideMark/>
          </w:tcPr>
          <w:p w14:paraId="6C0CA7F5" w14:textId="77777777" w:rsidR="0091724E" w:rsidRPr="00264161" w:rsidRDefault="0091724E" w:rsidP="0091724E">
            <w:pPr>
              <w:spacing w:after="0"/>
              <w:jc w:val="center"/>
              <w:textAlignment w:val="bottom"/>
              <w:rPr>
                <w:rFonts w:eastAsia="Times New Roman"/>
                <w:lang w:val="en-US" w:eastAsia="zh-CN"/>
              </w:rPr>
            </w:pPr>
            <w:r w:rsidRPr="00264161">
              <w:rPr>
                <w:rFonts w:eastAsia="Times New Roman"/>
                <w:color w:val="000000"/>
                <w:kern w:val="24"/>
                <w:lang w:val="en-US" w:eastAsia="zh-CN"/>
              </w:rPr>
              <w:t>3.35</w:t>
            </w:r>
          </w:p>
        </w:tc>
        <w:tc>
          <w:tcPr>
            <w:tcW w:w="2056" w:type="dxa"/>
            <w:hideMark/>
          </w:tcPr>
          <w:p w14:paraId="3C9462A8" w14:textId="77777777" w:rsidR="0091724E" w:rsidRPr="00264161" w:rsidRDefault="0091724E" w:rsidP="0091724E">
            <w:pPr>
              <w:spacing w:after="0"/>
              <w:jc w:val="center"/>
              <w:textAlignment w:val="bottom"/>
              <w:rPr>
                <w:rFonts w:eastAsia="Times New Roman"/>
                <w:lang w:val="en-US" w:eastAsia="zh-CN"/>
              </w:rPr>
            </w:pPr>
            <w:r w:rsidRPr="00264161">
              <w:rPr>
                <w:rFonts w:eastAsia="Times New Roman"/>
                <w:color w:val="000000"/>
                <w:kern w:val="24"/>
                <w:lang w:val="en-US" w:eastAsia="zh-CN"/>
              </w:rPr>
              <w:t>3.31</w:t>
            </w:r>
          </w:p>
        </w:tc>
      </w:tr>
      <w:tr w:rsidR="0091724E" w:rsidRPr="00264161" w14:paraId="26E34F78" w14:textId="77777777" w:rsidTr="00DD5D32">
        <w:trPr>
          <w:cnfStyle w:val="000000100000" w:firstRow="0" w:lastRow="0" w:firstColumn="0" w:lastColumn="0" w:oddVBand="0" w:evenVBand="0" w:oddHBand="1" w:evenHBand="0" w:firstRowFirstColumn="0" w:firstRowLastColumn="0" w:lastRowFirstColumn="0" w:lastRowLastColumn="0"/>
          <w:trHeight w:val="60"/>
        </w:trPr>
        <w:tc>
          <w:tcPr>
            <w:tcW w:w="600" w:type="dxa"/>
            <w:hideMark/>
          </w:tcPr>
          <w:p w14:paraId="570B24B3" w14:textId="77777777" w:rsidR="0091724E" w:rsidRPr="00264161" w:rsidRDefault="0091724E" w:rsidP="0091724E">
            <w:pPr>
              <w:spacing w:after="0"/>
              <w:jc w:val="center"/>
              <w:rPr>
                <w:rFonts w:eastAsia="Times New Roman"/>
                <w:lang w:val="en-US" w:eastAsia="zh-CN"/>
              </w:rPr>
            </w:pPr>
            <w:r w:rsidRPr="00264161">
              <w:rPr>
                <w:rFonts w:eastAsia="Times New Roman"/>
                <w:b/>
                <w:bCs/>
                <w:color w:val="000000" w:themeColor="dark1"/>
                <w:kern w:val="24"/>
                <w:lang w:val="en-US" w:eastAsia="zh-CN"/>
              </w:rPr>
              <w:t>UL</w:t>
            </w:r>
          </w:p>
        </w:tc>
        <w:tc>
          <w:tcPr>
            <w:tcW w:w="1435" w:type="dxa"/>
            <w:hideMark/>
          </w:tcPr>
          <w:p w14:paraId="618BD9BE" w14:textId="77777777" w:rsidR="0091724E" w:rsidRPr="00264161" w:rsidRDefault="0091724E" w:rsidP="0091724E">
            <w:pPr>
              <w:spacing w:after="0"/>
              <w:jc w:val="center"/>
              <w:textAlignment w:val="bottom"/>
              <w:rPr>
                <w:rFonts w:eastAsia="Times New Roman"/>
                <w:lang w:val="en-US" w:eastAsia="zh-CN"/>
              </w:rPr>
            </w:pPr>
            <w:r w:rsidRPr="00264161">
              <w:rPr>
                <w:rFonts w:eastAsia="Times New Roman"/>
                <w:color w:val="000000"/>
                <w:kern w:val="24"/>
                <w:lang w:val="en-US" w:eastAsia="zh-CN"/>
              </w:rPr>
              <w:t>2.70</w:t>
            </w:r>
          </w:p>
        </w:tc>
        <w:tc>
          <w:tcPr>
            <w:tcW w:w="1862" w:type="dxa"/>
            <w:hideMark/>
          </w:tcPr>
          <w:p w14:paraId="4D2D2B62" w14:textId="77777777" w:rsidR="0091724E" w:rsidRPr="00264161" w:rsidRDefault="0091724E" w:rsidP="0091724E">
            <w:pPr>
              <w:spacing w:after="0"/>
              <w:jc w:val="center"/>
              <w:textAlignment w:val="bottom"/>
              <w:rPr>
                <w:rFonts w:eastAsia="Times New Roman"/>
                <w:lang w:val="en-US" w:eastAsia="zh-CN"/>
              </w:rPr>
            </w:pPr>
            <w:r w:rsidRPr="00264161">
              <w:rPr>
                <w:rFonts w:eastAsia="Times New Roman"/>
                <w:color w:val="000000"/>
                <w:kern w:val="24"/>
                <w:lang w:val="en-US" w:eastAsia="zh-CN"/>
              </w:rPr>
              <w:t>2.26</w:t>
            </w:r>
          </w:p>
        </w:tc>
        <w:tc>
          <w:tcPr>
            <w:tcW w:w="1812" w:type="dxa"/>
            <w:hideMark/>
          </w:tcPr>
          <w:p w14:paraId="58E634E1" w14:textId="77777777" w:rsidR="0091724E" w:rsidRPr="00264161" w:rsidRDefault="0091724E" w:rsidP="0091724E">
            <w:pPr>
              <w:spacing w:after="0"/>
              <w:jc w:val="center"/>
              <w:textAlignment w:val="bottom"/>
              <w:rPr>
                <w:rFonts w:eastAsia="Times New Roman"/>
                <w:lang w:val="en-US" w:eastAsia="zh-CN"/>
              </w:rPr>
            </w:pPr>
            <w:r w:rsidRPr="00264161">
              <w:rPr>
                <w:rFonts w:eastAsia="Times New Roman"/>
                <w:color w:val="000000"/>
                <w:kern w:val="24"/>
                <w:lang w:val="en-US" w:eastAsia="zh-CN"/>
              </w:rPr>
              <w:t>1.17</w:t>
            </w:r>
          </w:p>
        </w:tc>
        <w:tc>
          <w:tcPr>
            <w:tcW w:w="1796" w:type="dxa"/>
            <w:hideMark/>
          </w:tcPr>
          <w:p w14:paraId="12877342" w14:textId="77777777" w:rsidR="0091724E" w:rsidRPr="00264161" w:rsidRDefault="0091724E" w:rsidP="0091724E">
            <w:pPr>
              <w:spacing w:after="0"/>
              <w:jc w:val="center"/>
              <w:textAlignment w:val="bottom"/>
              <w:rPr>
                <w:rFonts w:eastAsia="Times New Roman"/>
                <w:lang w:val="en-US" w:eastAsia="zh-CN"/>
              </w:rPr>
            </w:pPr>
            <w:r w:rsidRPr="00264161">
              <w:rPr>
                <w:rFonts w:eastAsia="Times New Roman"/>
                <w:color w:val="000000"/>
                <w:kern w:val="24"/>
                <w:lang w:val="en-US" w:eastAsia="zh-CN"/>
              </w:rPr>
              <w:t>1.63</w:t>
            </w:r>
          </w:p>
        </w:tc>
        <w:tc>
          <w:tcPr>
            <w:tcW w:w="2056" w:type="dxa"/>
            <w:hideMark/>
          </w:tcPr>
          <w:p w14:paraId="715D6472" w14:textId="77777777" w:rsidR="0091724E" w:rsidRPr="00264161" w:rsidRDefault="0091724E" w:rsidP="0091724E">
            <w:pPr>
              <w:spacing w:after="0"/>
              <w:jc w:val="center"/>
              <w:textAlignment w:val="bottom"/>
              <w:rPr>
                <w:rFonts w:eastAsia="Times New Roman"/>
                <w:lang w:val="en-US" w:eastAsia="zh-CN"/>
              </w:rPr>
            </w:pPr>
            <w:r w:rsidRPr="00264161">
              <w:rPr>
                <w:rFonts w:eastAsia="Times New Roman"/>
                <w:color w:val="000000"/>
                <w:kern w:val="24"/>
                <w:lang w:val="en-US" w:eastAsia="zh-CN"/>
              </w:rPr>
              <w:t>2.17</w:t>
            </w:r>
          </w:p>
        </w:tc>
      </w:tr>
    </w:tbl>
    <w:p w14:paraId="06BD5DD1" w14:textId="68D16B8D" w:rsidR="00465007" w:rsidRDefault="00465007" w:rsidP="00EC03D5">
      <w:pPr>
        <w:spacing w:after="120"/>
        <w:jc w:val="both"/>
        <w:rPr>
          <w:rStyle w:val="ui-provider"/>
        </w:rPr>
      </w:pPr>
    </w:p>
    <w:p w14:paraId="4517F243" w14:textId="61D3BA54" w:rsidR="004538E8" w:rsidRDefault="004538E8" w:rsidP="004538E8">
      <w:pPr>
        <w:spacing w:after="120"/>
        <w:jc w:val="center"/>
        <w:rPr>
          <w:rStyle w:val="ui-provider"/>
        </w:rPr>
      </w:pPr>
      <w:r>
        <w:rPr>
          <w:rStyle w:val="ui-provider"/>
          <w:noProof/>
        </w:rPr>
        <w:drawing>
          <wp:inline distT="0" distB="0" distL="0" distR="0" wp14:anchorId="56542E1F" wp14:editId="66A16E20">
            <wp:extent cx="4425729" cy="1668212"/>
            <wp:effectExtent l="19050" t="19050" r="13335" b="273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a:extLst>
                        <a:ext uri="{28A0092B-C50C-407E-A947-70E740481C1C}">
                          <a14:useLocalDpi xmlns:a14="http://schemas.microsoft.com/office/drawing/2010/main" val="0"/>
                        </a:ext>
                      </a:extLst>
                    </a:blip>
                    <a:srcRect l="2436" t="3039" r="1019" b="3337"/>
                    <a:stretch/>
                  </pic:blipFill>
                  <pic:spPr bwMode="auto">
                    <a:xfrm>
                      <a:off x="0" y="0"/>
                      <a:ext cx="4488945" cy="1692040"/>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p>
    <w:p w14:paraId="17120130" w14:textId="0D991443" w:rsidR="00261856" w:rsidRDefault="003E5CCF" w:rsidP="007101B0">
      <w:pPr>
        <w:spacing w:after="120"/>
        <w:jc w:val="center"/>
        <w:rPr>
          <w:rStyle w:val="ui-provider"/>
        </w:rPr>
      </w:pPr>
      <w:bookmarkStart w:id="10" w:name="_Ref134781951"/>
      <w:r>
        <w:t xml:space="preserve">Figure </w:t>
      </w:r>
      <w:r>
        <w:fldChar w:fldCharType="begin"/>
      </w:r>
      <w:r>
        <w:instrText xml:space="preserve"> SEQ Figure \* ARABIC </w:instrText>
      </w:r>
      <w:r>
        <w:fldChar w:fldCharType="separate"/>
      </w:r>
      <w:r w:rsidR="00B758B7">
        <w:rPr>
          <w:noProof/>
        </w:rPr>
        <w:t>3</w:t>
      </w:r>
      <w:r>
        <w:fldChar w:fldCharType="end"/>
      </w:r>
      <w:bookmarkEnd w:id="10"/>
      <w:r>
        <w:t>:</w:t>
      </w:r>
      <w:r w:rsidR="007101B0">
        <w:rPr>
          <w:rStyle w:val="ui-provider"/>
        </w:rPr>
        <w:t xml:space="preserve"> Spectral Efficiency loss </w:t>
      </w:r>
      <w:r w:rsidR="00705E0C">
        <w:rPr>
          <w:rStyle w:val="ui-provider"/>
        </w:rPr>
        <w:t>comparison</w:t>
      </w:r>
      <w:r w:rsidR="007101B0">
        <w:rPr>
          <w:rStyle w:val="ui-provider"/>
        </w:rPr>
        <w:t xml:space="preserve"> </w:t>
      </w:r>
      <w:r w:rsidR="00705E0C">
        <w:rPr>
          <w:rStyle w:val="ui-provider"/>
        </w:rPr>
        <w:t>for</w:t>
      </w:r>
      <w:r w:rsidR="007101B0">
        <w:rPr>
          <w:rStyle w:val="ui-provider"/>
        </w:rPr>
        <w:t xml:space="preserve"> different cases</w:t>
      </w:r>
    </w:p>
    <w:p w14:paraId="061CAA51" w14:textId="308CA06D" w:rsidR="00E30F91" w:rsidRDefault="00547319" w:rsidP="00E07E5B">
      <w:pPr>
        <w:spacing w:after="120"/>
        <w:jc w:val="both"/>
        <w:rPr>
          <w:rStyle w:val="ui-provider"/>
        </w:rPr>
      </w:pPr>
      <w:r>
        <w:rPr>
          <w:rStyle w:val="ui-provider"/>
        </w:rPr>
        <w:lastRenderedPageBreak/>
        <w:fldChar w:fldCharType="begin"/>
      </w:r>
      <w:r>
        <w:rPr>
          <w:rStyle w:val="ui-provider"/>
        </w:rPr>
        <w:instrText xml:space="preserve"> REF _Ref134781951 \h </w:instrText>
      </w:r>
      <w:r>
        <w:rPr>
          <w:rStyle w:val="ui-provider"/>
        </w:rPr>
      </w:r>
      <w:r>
        <w:rPr>
          <w:rStyle w:val="ui-provider"/>
        </w:rPr>
        <w:fldChar w:fldCharType="separate"/>
      </w:r>
      <w:r w:rsidR="00B758B7">
        <w:t xml:space="preserve">Figure </w:t>
      </w:r>
      <w:r w:rsidR="00B758B7">
        <w:rPr>
          <w:noProof/>
        </w:rPr>
        <w:t>3</w:t>
      </w:r>
      <w:r>
        <w:rPr>
          <w:rStyle w:val="ui-provider"/>
        </w:rPr>
        <w:fldChar w:fldCharType="end"/>
      </w:r>
      <w:r w:rsidR="00F64820">
        <w:rPr>
          <w:rStyle w:val="ui-provider"/>
        </w:rPr>
        <w:t xml:space="preserve"> reveals that the DL SE is degraded by 20% due to the high inter-UE CLI, and UL SE is degraded by 16% due to the inter-site gNB CLI. Additionally, the UL spectral efficiency is heavily influenced by the RSIC and RCIC capabilities. Since DL reception at the UE is unaffected by these gNB capabilities, the DL SE remains unchanged for the other cases.</w:t>
      </w:r>
    </w:p>
    <w:p w14:paraId="418F729B" w14:textId="3233C8C0" w:rsidR="00C36B71" w:rsidRDefault="00000738" w:rsidP="005E128D">
      <w:pPr>
        <w:spacing w:after="120"/>
        <w:jc w:val="both"/>
        <w:rPr>
          <w:rStyle w:val="ui-provider"/>
        </w:rPr>
      </w:pPr>
      <w:r w:rsidRPr="00EF4B7B">
        <w:rPr>
          <w:b/>
          <w:bCs/>
          <w:i/>
          <w:iCs/>
        </w:rPr>
        <w:t xml:space="preserve">Observation </w:t>
      </w:r>
      <w:r w:rsidRPr="00EF4B7B">
        <w:rPr>
          <w:b/>
          <w:bCs/>
          <w:i/>
          <w:iCs/>
        </w:rPr>
        <w:fldChar w:fldCharType="begin"/>
      </w:r>
      <w:r w:rsidRPr="00EF4B7B">
        <w:rPr>
          <w:b/>
          <w:bCs/>
          <w:i/>
          <w:iCs/>
        </w:rPr>
        <w:instrText xml:space="preserve"> SEQ Observation \* ARABIC </w:instrText>
      </w:r>
      <w:r w:rsidRPr="00EF4B7B">
        <w:rPr>
          <w:b/>
          <w:bCs/>
          <w:i/>
          <w:iCs/>
        </w:rPr>
        <w:fldChar w:fldCharType="separate"/>
      </w:r>
      <w:r w:rsidR="00B758B7">
        <w:rPr>
          <w:b/>
          <w:bCs/>
          <w:i/>
          <w:iCs/>
          <w:noProof/>
        </w:rPr>
        <w:t>4</w:t>
      </w:r>
      <w:r w:rsidRPr="00EF4B7B">
        <w:rPr>
          <w:b/>
          <w:bCs/>
          <w:i/>
          <w:iCs/>
        </w:rPr>
        <w:fldChar w:fldCharType="end"/>
      </w:r>
      <w:r w:rsidRPr="00EF4B7B">
        <w:t xml:space="preserve">: </w:t>
      </w:r>
      <w:bookmarkStart w:id="11" w:name="_Ref134784104"/>
      <w:r w:rsidRPr="00ED4793">
        <w:rPr>
          <w:b/>
          <w:i/>
          <w:lang w:eastAsia="ko-KR"/>
        </w:rPr>
        <w:t>Intra-site isolation has a major influence on UL performance, and it is observed that 75 dB of isolation is insufficient</w:t>
      </w:r>
      <w:r>
        <w:rPr>
          <w:b/>
          <w:i/>
          <w:lang w:eastAsia="ko-KR"/>
        </w:rPr>
        <w:t>,</w:t>
      </w:r>
      <w:r w:rsidRPr="00ED4793">
        <w:rPr>
          <w:b/>
          <w:i/>
          <w:lang w:eastAsia="ko-KR"/>
        </w:rPr>
        <w:t xml:space="preserve"> and 100 dB is preferred</w:t>
      </w:r>
      <w:r>
        <w:rPr>
          <w:b/>
          <w:i/>
          <w:lang w:eastAsia="ko-KR"/>
        </w:rPr>
        <w:t xml:space="preserve"> in addition to the frequency isolation</w:t>
      </w:r>
      <w:bookmarkEnd w:id="11"/>
    </w:p>
    <w:p w14:paraId="58378A3F" w14:textId="38BC87BE" w:rsidR="00000738" w:rsidRDefault="00000738" w:rsidP="005E128D">
      <w:pPr>
        <w:spacing w:after="120"/>
        <w:jc w:val="both"/>
        <w:rPr>
          <w:b/>
          <w:i/>
          <w:lang w:eastAsia="ko-KR"/>
        </w:rPr>
      </w:pPr>
      <w:r w:rsidRPr="00EF4B7B">
        <w:rPr>
          <w:b/>
          <w:bCs/>
          <w:i/>
          <w:iCs/>
        </w:rPr>
        <w:t xml:space="preserve">Observation </w:t>
      </w:r>
      <w:r w:rsidRPr="00EF4B7B">
        <w:rPr>
          <w:b/>
          <w:bCs/>
          <w:i/>
          <w:iCs/>
        </w:rPr>
        <w:fldChar w:fldCharType="begin"/>
      </w:r>
      <w:r w:rsidRPr="00EF4B7B">
        <w:rPr>
          <w:b/>
          <w:bCs/>
          <w:i/>
          <w:iCs/>
        </w:rPr>
        <w:instrText xml:space="preserve"> SEQ Observation \* ARABIC </w:instrText>
      </w:r>
      <w:r w:rsidRPr="00EF4B7B">
        <w:rPr>
          <w:b/>
          <w:bCs/>
          <w:i/>
          <w:iCs/>
        </w:rPr>
        <w:fldChar w:fldCharType="separate"/>
      </w:r>
      <w:r w:rsidR="00B758B7">
        <w:rPr>
          <w:b/>
          <w:bCs/>
          <w:i/>
          <w:iCs/>
          <w:noProof/>
        </w:rPr>
        <w:t>5</w:t>
      </w:r>
      <w:r w:rsidRPr="00EF4B7B">
        <w:rPr>
          <w:b/>
          <w:bCs/>
          <w:i/>
          <w:iCs/>
        </w:rPr>
        <w:fldChar w:fldCharType="end"/>
      </w:r>
      <w:r w:rsidRPr="00EF4B7B">
        <w:t xml:space="preserve">: </w:t>
      </w:r>
      <w:bookmarkStart w:id="12" w:name="_Ref134784121"/>
      <w:r>
        <w:rPr>
          <w:b/>
          <w:i/>
          <w:lang w:eastAsia="ko-KR"/>
        </w:rPr>
        <w:t>RSIC of 102 dB in addition to the frequency isolation is required to mitigate the gNB self-interference</w:t>
      </w:r>
      <w:bookmarkEnd w:id="12"/>
    </w:p>
    <w:p w14:paraId="1EB967FB" w14:textId="6D0310C0" w:rsidR="002958B5" w:rsidRDefault="002958B5" w:rsidP="002958B5">
      <w:pPr>
        <w:pStyle w:val="Heading2"/>
      </w:pPr>
      <w:r>
        <w:t>FTP3</w:t>
      </w:r>
      <w:r w:rsidR="00CE3B34">
        <w:t xml:space="preserve"> </w:t>
      </w:r>
      <w:r w:rsidR="00327864">
        <w:t>Traffic</w:t>
      </w:r>
    </w:p>
    <w:p w14:paraId="7F2C7809" w14:textId="2434FD8B" w:rsidR="002958B5" w:rsidRPr="001A4C39" w:rsidRDefault="00430B17" w:rsidP="001A4C39">
      <w:pPr>
        <w:pStyle w:val="Heading3"/>
        <w:spacing w:after="120"/>
        <w:jc w:val="both"/>
      </w:pPr>
      <w:r w:rsidRPr="001A4C39">
        <w:t>UPT</w:t>
      </w:r>
      <w:r w:rsidR="0043145F">
        <w:t xml:space="preserve"> and Latency</w:t>
      </w:r>
      <w:r w:rsidRPr="001A4C39">
        <w:t xml:space="preserve"> Performance</w:t>
      </w:r>
      <w:r w:rsidR="00B35FD8">
        <w:t>s</w:t>
      </w:r>
      <w:r w:rsidR="001A4C39" w:rsidRPr="001A4C39">
        <w:t xml:space="preserve"> </w:t>
      </w:r>
      <w:r w:rsidR="001E5919">
        <w:t>of</w:t>
      </w:r>
      <w:r w:rsidR="001A4C39" w:rsidRPr="001A4C39">
        <w:t xml:space="preserve"> SBFD over TDD</w:t>
      </w:r>
    </w:p>
    <w:p w14:paraId="0DEEB205" w14:textId="49E74FBA" w:rsidR="001E1D4E" w:rsidRDefault="003C265E" w:rsidP="00F714CA">
      <w:pPr>
        <w:jc w:val="both"/>
        <w:rPr>
          <w:lang w:val="en-US"/>
        </w:rPr>
      </w:pPr>
      <w:r>
        <w:t xml:space="preserve">The user perceived throughput (UPT) </w:t>
      </w:r>
      <w:r w:rsidR="00E318AD">
        <w:t>performance</w:t>
      </w:r>
      <w:r w:rsidR="00C812B6">
        <w:t>s</w:t>
      </w:r>
      <w:r w:rsidR="00E318AD">
        <w:t xml:space="preserve"> </w:t>
      </w:r>
      <w:r w:rsidR="00C812B6">
        <w:t xml:space="preserve">of the SBFD and the legacy TDD are </w:t>
      </w:r>
      <w:r w:rsidR="009A600D">
        <w:t>analysed</w:t>
      </w:r>
      <w:r w:rsidR="00C812B6">
        <w:t xml:space="preserve"> </w:t>
      </w:r>
      <w:r w:rsidR="009A600D">
        <w:t xml:space="preserve">in all 3 RU conditions namely low </w:t>
      </w:r>
      <w:r w:rsidR="00E03C87">
        <w:t>(~10%)</w:t>
      </w:r>
      <w:r w:rsidR="009A600D">
        <w:t xml:space="preserve">, Medium </w:t>
      </w:r>
      <w:r w:rsidR="00E03C87">
        <w:t>(~27%)</w:t>
      </w:r>
      <w:r w:rsidR="009A600D">
        <w:t xml:space="preserve"> and </w:t>
      </w:r>
      <w:r w:rsidR="00E03C87">
        <w:t>High (~50%)</w:t>
      </w:r>
      <w:r w:rsidR="00346419">
        <w:t>. This is done</w:t>
      </w:r>
      <w:r w:rsidR="00E03C87">
        <w:t xml:space="preserve"> </w:t>
      </w:r>
      <w:r w:rsidR="00E318AD">
        <w:t xml:space="preserve">using </w:t>
      </w:r>
      <w:r w:rsidR="00F714CA">
        <w:rPr>
          <w:lang w:val="en-US"/>
        </w:rPr>
        <w:t>FTP model 3 with 0.5Mbyte and 0.125Mbyte as DL and UL packet size.</w:t>
      </w:r>
      <w:r w:rsidR="00E93FE5">
        <w:rPr>
          <w:lang w:val="en-US"/>
        </w:rPr>
        <w:t xml:space="preserve"> </w:t>
      </w:r>
      <w:r w:rsidR="00FE1444">
        <w:rPr>
          <w:lang w:val="en-US"/>
        </w:rPr>
        <w:t xml:space="preserve">Here, the </w:t>
      </w:r>
      <w:r w:rsidR="00766F82">
        <w:rPr>
          <w:lang w:val="en-US"/>
        </w:rPr>
        <w:t xml:space="preserve">best gNB capabilities (RSIC=102dB, RCIC=100dB) are assumed. </w:t>
      </w:r>
      <w:r w:rsidR="00547319">
        <w:rPr>
          <w:lang w:val="en-US"/>
        </w:rPr>
        <w:fldChar w:fldCharType="begin"/>
      </w:r>
      <w:r w:rsidR="00547319">
        <w:rPr>
          <w:lang w:val="en-US"/>
        </w:rPr>
        <w:instrText xml:space="preserve"> REF _Ref134782011 \h </w:instrText>
      </w:r>
      <w:r w:rsidR="00547319">
        <w:rPr>
          <w:lang w:val="en-US"/>
        </w:rPr>
      </w:r>
      <w:r w:rsidR="00547319">
        <w:rPr>
          <w:lang w:val="en-US"/>
        </w:rPr>
        <w:fldChar w:fldCharType="separate"/>
      </w:r>
      <w:r w:rsidR="00B758B7" w:rsidRPr="00B80335">
        <w:t xml:space="preserve">Table </w:t>
      </w:r>
      <w:r w:rsidR="00B758B7">
        <w:rPr>
          <w:noProof/>
        </w:rPr>
        <w:t>3</w:t>
      </w:r>
      <w:r w:rsidR="00547319">
        <w:rPr>
          <w:lang w:val="en-US"/>
        </w:rPr>
        <w:fldChar w:fldCharType="end"/>
      </w:r>
      <w:r w:rsidR="00E93FE5">
        <w:rPr>
          <w:lang w:val="en-US"/>
        </w:rPr>
        <w:t xml:space="preserve"> shows the absolute values</w:t>
      </w:r>
      <w:r w:rsidR="00FE1444">
        <w:rPr>
          <w:lang w:val="en-US"/>
        </w:rPr>
        <w:t xml:space="preserve"> of UPT</w:t>
      </w:r>
      <w:r w:rsidR="00E93FE5">
        <w:rPr>
          <w:lang w:val="en-US"/>
        </w:rPr>
        <w:t xml:space="preserve"> and </w:t>
      </w:r>
      <w:r w:rsidR="00BE3472">
        <w:rPr>
          <w:lang w:val="en-US"/>
        </w:rPr>
        <w:fldChar w:fldCharType="begin"/>
      </w:r>
      <w:r w:rsidR="00BE3472">
        <w:rPr>
          <w:lang w:val="en-US"/>
        </w:rPr>
        <w:instrText xml:space="preserve"> REF _Ref134782039 \h </w:instrText>
      </w:r>
      <w:r w:rsidR="00BE3472">
        <w:rPr>
          <w:lang w:val="en-US"/>
        </w:rPr>
      </w:r>
      <w:r w:rsidR="00BE3472">
        <w:rPr>
          <w:lang w:val="en-US"/>
        </w:rPr>
        <w:fldChar w:fldCharType="separate"/>
      </w:r>
      <w:r w:rsidR="00B758B7">
        <w:t xml:space="preserve">Figure </w:t>
      </w:r>
      <w:r w:rsidR="00B758B7">
        <w:rPr>
          <w:noProof/>
        </w:rPr>
        <w:t>4</w:t>
      </w:r>
      <w:r w:rsidR="00BE3472">
        <w:rPr>
          <w:lang w:val="en-US"/>
        </w:rPr>
        <w:fldChar w:fldCharType="end"/>
      </w:r>
      <w:r w:rsidR="00E93FE5">
        <w:rPr>
          <w:lang w:val="en-US"/>
        </w:rPr>
        <w:t xml:space="preserve"> sho</w:t>
      </w:r>
      <w:r w:rsidR="001E5919">
        <w:rPr>
          <w:lang w:val="en-US"/>
        </w:rPr>
        <w:t>ws the UPT gain of SBFD over TDD.</w:t>
      </w:r>
      <w:r w:rsidR="00FE1444">
        <w:rPr>
          <w:lang w:val="en-US"/>
        </w:rPr>
        <w:t xml:space="preserve"> </w:t>
      </w:r>
    </w:p>
    <w:p w14:paraId="42B650A2" w14:textId="0818983A" w:rsidR="00B35FD8" w:rsidRDefault="00B35FD8" w:rsidP="00F714CA">
      <w:pPr>
        <w:jc w:val="both"/>
      </w:pPr>
      <w:r w:rsidRPr="00B35FD8">
        <w:t>When comparing DL UPT</w:t>
      </w:r>
      <w:r w:rsidR="008C2C80">
        <w:t xml:space="preserve"> and packet latency</w:t>
      </w:r>
      <w:r w:rsidRPr="00B35FD8">
        <w:t xml:space="preserve"> of SBFD and TDD, SBFD suffers due to the DL resource loss and inter-UE CLI. On the other hand, UL </w:t>
      </w:r>
      <w:proofErr w:type="gramStart"/>
      <w:r w:rsidRPr="00B35FD8">
        <w:t>UPT</w:t>
      </w:r>
      <w:proofErr w:type="gramEnd"/>
      <w:r w:rsidRPr="00B35FD8">
        <w:t xml:space="preserve"> </w:t>
      </w:r>
      <w:r w:rsidR="008C2C80">
        <w:t>and packet latency</w:t>
      </w:r>
      <w:r w:rsidR="008C2C80" w:rsidRPr="00B35FD8">
        <w:t xml:space="preserve"> </w:t>
      </w:r>
      <w:r w:rsidRPr="00B35FD8">
        <w:t>of SBFD has a better performance than TDD, due to the UL resource gain with the best RSIC and RCIC capabilities of gNB. To further improve the UPT performance, a good scope of studying the solutions for the inter-site gNB CLI management with minimal or no impact to the UE can be done.</w:t>
      </w:r>
    </w:p>
    <w:p w14:paraId="0C5D207B" w14:textId="77777777" w:rsidR="0032572A" w:rsidRDefault="0032572A" w:rsidP="00D13C4A">
      <w:pPr>
        <w:spacing w:after="120"/>
        <w:jc w:val="center"/>
        <w:rPr>
          <w:rStyle w:val="ui-provider"/>
        </w:rPr>
      </w:pPr>
      <w:r w:rsidRPr="00DB1286">
        <w:rPr>
          <w:rStyle w:val="ui-provider"/>
          <w:noProof/>
        </w:rPr>
        <w:drawing>
          <wp:inline distT="0" distB="0" distL="0" distR="0" wp14:anchorId="6A37F00C" wp14:editId="78163A89">
            <wp:extent cx="4913906" cy="1739567"/>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19627" cy="1741592"/>
                    </a:xfrm>
                    <a:prstGeom prst="rect">
                      <a:avLst/>
                    </a:prstGeom>
                    <a:noFill/>
                    <a:ln>
                      <a:noFill/>
                    </a:ln>
                  </pic:spPr>
                </pic:pic>
              </a:graphicData>
            </a:graphic>
          </wp:inline>
        </w:drawing>
      </w:r>
    </w:p>
    <w:p w14:paraId="72F9635D" w14:textId="515EB652" w:rsidR="0032572A" w:rsidRDefault="003E5CCF" w:rsidP="00D13C4A">
      <w:pPr>
        <w:spacing w:after="120"/>
        <w:jc w:val="center"/>
        <w:rPr>
          <w:rStyle w:val="ui-provider"/>
        </w:rPr>
      </w:pPr>
      <w:bookmarkStart w:id="13" w:name="_Ref134782039"/>
      <w:r>
        <w:t xml:space="preserve">Figure </w:t>
      </w:r>
      <w:r>
        <w:fldChar w:fldCharType="begin"/>
      </w:r>
      <w:r>
        <w:instrText xml:space="preserve"> SEQ Figure \* ARABIC </w:instrText>
      </w:r>
      <w:r>
        <w:fldChar w:fldCharType="separate"/>
      </w:r>
      <w:r w:rsidR="00B758B7">
        <w:rPr>
          <w:noProof/>
        </w:rPr>
        <w:t>4</w:t>
      </w:r>
      <w:r>
        <w:fldChar w:fldCharType="end"/>
      </w:r>
      <w:bookmarkEnd w:id="13"/>
      <w:r>
        <w:t>:</w:t>
      </w:r>
      <w:r w:rsidR="0032572A">
        <w:rPr>
          <w:rStyle w:val="ui-provider"/>
        </w:rPr>
        <w:t xml:space="preserve"> UPT gain of SBFD over TDD</w:t>
      </w:r>
    </w:p>
    <w:p w14:paraId="042178C2" w14:textId="77777777" w:rsidR="00D13C4A" w:rsidRDefault="00D13C4A" w:rsidP="00D13C4A">
      <w:pPr>
        <w:spacing w:after="120"/>
        <w:jc w:val="center"/>
      </w:pPr>
    </w:p>
    <w:p w14:paraId="4C8D8ECF" w14:textId="38B3EE69" w:rsidR="00100821" w:rsidRDefault="00B80335" w:rsidP="00100821">
      <w:pPr>
        <w:spacing w:after="120"/>
        <w:jc w:val="center"/>
        <w:rPr>
          <w:rStyle w:val="ui-provider"/>
        </w:rPr>
      </w:pPr>
      <w:bookmarkStart w:id="14" w:name="_Ref134782011"/>
      <w:r w:rsidRPr="00B80335">
        <w:t xml:space="preserve">Table </w:t>
      </w:r>
      <w:r w:rsidRPr="00B80335">
        <w:fldChar w:fldCharType="begin"/>
      </w:r>
      <w:r w:rsidRPr="00B80335">
        <w:instrText xml:space="preserve"> SEQ Table \* ARABIC </w:instrText>
      </w:r>
      <w:r w:rsidRPr="00B80335">
        <w:fldChar w:fldCharType="separate"/>
      </w:r>
      <w:r w:rsidR="00B758B7">
        <w:rPr>
          <w:noProof/>
        </w:rPr>
        <w:t>3</w:t>
      </w:r>
      <w:r w:rsidRPr="00B80335">
        <w:fldChar w:fldCharType="end"/>
      </w:r>
      <w:bookmarkEnd w:id="14"/>
      <w:r w:rsidRPr="00B80335">
        <w:t>:</w:t>
      </w:r>
      <w:r w:rsidRPr="003A1B8E">
        <w:rPr>
          <w:b/>
          <w:bCs/>
        </w:rPr>
        <w:t xml:space="preserve"> </w:t>
      </w:r>
      <w:r w:rsidR="00100821">
        <w:rPr>
          <w:rStyle w:val="ui-provider"/>
        </w:rPr>
        <w:t>UPT (absolute values)</w:t>
      </w:r>
    </w:p>
    <w:p w14:paraId="644E2A06" w14:textId="79365FC7" w:rsidR="001E1D4E" w:rsidRDefault="003D2724" w:rsidP="00D13C4A">
      <w:pPr>
        <w:jc w:val="center"/>
      </w:pPr>
      <w:r>
        <w:rPr>
          <w:noProof/>
        </w:rPr>
        <w:drawing>
          <wp:inline distT="0" distB="0" distL="0" distR="0" wp14:anchorId="51781E76" wp14:editId="4DEE9609">
            <wp:extent cx="6114199" cy="3140765"/>
            <wp:effectExtent l="0" t="0" r="127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33890" cy="3150880"/>
                    </a:xfrm>
                    <a:prstGeom prst="rect">
                      <a:avLst/>
                    </a:prstGeom>
                  </pic:spPr>
                </pic:pic>
              </a:graphicData>
            </a:graphic>
          </wp:inline>
        </w:drawing>
      </w:r>
    </w:p>
    <w:p w14:paraId="1650AB97" w14:textId="077C892A" w:rsidR="00C36B71" w:rsidRPr="00565786" w:rsidRDefault="00C36B71" w:rsidP="00565786">
      <w:pPr>
        <w:spacing w:after="0"/>
        <w:jc w:val="both"/>
        <w:rPr>
          <w:b/>
          <w:i/>
          <w:lang w:eastAsia="ko-KR"/>
        </w:rPr>
      </w:pPr>
      <w:r w:rsidRPr="00EF4B7B">
        <w:rPr>
          <w:b/>
          <w:bCs/>
          <w:i/>
          <w:iCs/>
        </w:rPr>
        <w:lastRenderedPageBreak/>
        <w:t xml:space="preserve">Observation </w:t>
      </w:r>
      <w:r w:rsidRPr="00EF4B7B">
        <w:rPr>
          <w:b/>
          <w:bCs/>
          <w:i/>
          <w:iCs/>
        </w:rPr>
        <w:fldChar w:fldCharType="begin"/>
      </w:r>
      <w:r w:rsidRPr="00EF4B7B">
        <w:rPr>
          <w:b/>
          <w:bCs/>
          <w:i/>
          <w:iCs/>
        </w:rPr>
        <w:instrText xml:space="preserve"> SEQ Observation \* ARABIC </w:instrText>
      </w:r>
      <w:r w:rsidRPr="00EF4B7B">
        <w:rPr>
          <w:b/>
          <w:bCs/>
          <w:i/>
          <w:iCs/>
        </w:rPr>
        <w:fldChar w:fldCharType="separate"/>
      </w:r>
      <w:r w:rsidR="00B758B7">
        <w:rPr>
          <w:b/>
          <w:bCs/>
          <w:i/>
          <w:iCs/>
          <w:noProof/>
        </w:rPr>
        <w:t>6</w:t>
      </w:r>
      <w:r w:rsidRPr="00EF4B7B">
        <w:rPr>
          <w:b/>
          <w:bCs/>
          <w:i/>
          <w:iCs/>
        </w:rPr>
        <w:fldChar w:fldCharType="end"/>
      </w:r>
      <w:r w:rsidRPr="00EF4B7B">
        <w:t xml:space="preserve">: </w:t>
      </w:r>
      <w:bookmarkStart w:id="15" w:name="_Ref134784146"/>
      <w:r w:rsidRPr="00A524D4">
        <w:rPr>
          <w:b/>
          <w:i/>
          <w:lang w:eastAsia="ko-KR"/>
        </w:rPr>
        <w:t>DL UPT of SBFD suffers</w:t>
      </w:r>
      <w:r>
        <w:rPr>
          <w:b/>
          <w:i/>
          <w:lang w:eastAsia="ko-KR"/>
        </w:rPr>
        <w:t xml:space="preserve"> (~43% loss in mean UPT of medium RU)</w:t>
      </w:r>
      <w:r w:rsidRPr="00A524D4">
        <w:rPr>
          <w:b/>
          <w:i/>
          <w:lang w:eastAsia="ko-KR"/>
        </w:rPr>
        <w:t xml:space="preserve"> when compared to TDD due to DL resource loss and inter-UE CLI</w:t>
      </w:r>
      <w:bookmarkEnd w:id="15"/>
    </w:p>
    <w:p w14:paraId="6F812A68" w14:textId="13B93193" w:rsidR="00565786" w:rsidRPr="00565786" w:rsidRDefault="00565786" w:rsidP="00565786">
      <w:pPr>
        <w:spacing w:after="0"/>
        <w:jc w:val="both"/>
        <w:rPr>
          <w:b/>
          <w:i/>
          <w:lang w:eastAsia="ko-KR"/>
        </w:rPr>
      </w:pPr>
      <w:r w:rsidRPr="00EF4B7B">
        <w:rPr>
          <w:b/>
          <w:bCs/>
          <w:i/>
          <w:iCs/>
        </w:rPr>
        <w:t xml:space="preserve">Observation </w:t>
      </w:r>
      <w:r w:rsidRPr="00EF4B7B">
        <w:rPr>
          <w:b/>
          <w:bCs/>
          <w:i/>
          <w:iCs/>
        </w:rPr>
        <w:fldChar w:fldCharType="begin"/>
      </w:r>
      <w:r w:rsidRPr="00EF4B7B">
        <w:rPr>
          <w:b/>
          <w:bCs/>
          <w:i/>
          <w:iCs/>
        </w:rPr>
        <w:instrText xml:space="preserve"> SEQ Observation \* ARABIC </w:instrText>
      </w:r>
      <w:r w:rsidRPr="00EF4B7B">
        <w:rPr>
          <w:b/>
          <w:bCs/>
          <w:i/>
          <w:iCs/>
        </w:rPr>
        <w:fldChar w:fldCharType="separate"/>
      </w:r>
      <w:r w:rsidR="00B758B7">
        <w:rPr>
          <w:b/>
          <w:bCs/>
          <w:i/>
          <w:iCs/>
          <w:noProof/>
        </w:rPr>
        <w:t>7</w:t>
      </w:r>
      <w:r w:rsidRPr="00EF4B7B">
        <w:rPr>
          <w:b/>
          <w:bCs/>
          <w:i/>
          <w:iCs/>
        </w:rPr>
        <w:fldChar w:fldCharType="end"/>
      </w:r>
      <w:r w:rsidRPr="00EF4B7B">
        <w:t xml:space="preserve">: </w:t>
      </w:r>
      <w:bookmarkStart w:id="16" w:name="_Ref134784196"/>
      <w:r w:rsidRPr="00A524D4">
        <w:rPr>
          <w:b/>
          <w:i/>
          <w:lang w:eastAsia="ko-KR"/>
        </w:rPr>
        <w:t xml:space="preserve">UL UPT of SBFD is gained </w:t>
      </w:r>
      <w:r>
        <w:rPr>
          <w:b/>
          <w:i/>
          <w:lang w:eastAsia="ko-KR"/>
        </w:rPr>
        <w:t xml:space="preserve">(~69% gain in mean UPT of medium RU) </w:t>
      </w:r>
      <w:r w:rsidRPr="00A524D4">
        <w:rPr>
          <w:b/>
          <w:i/>
          <w:lang w:eastAsia="ko-KR"/>
        </w:rPr>
        <w:t xml:space="preserve">when compared to TDD due to UL resource gain </w:t>
      </w:r>
      <w:r>
        <w:rPr>
          <w:b/>
          <w:i/>
          <w:lang w:eastAsia="ko-KR"/>
        </w:rPr>
        <w:t xml:space="preserve">and </w:t>
      </w:r>
      <w:r w:rsidRPr="00A524D4">
        <w:rPr>
          <w:b/>
          <w:i/>
          <w:lang w:eastAsia="ko-KR"/>
        </w:rPr>
        <w:t>with the best RSIC and RCIC capabilities at gNB</w:t>
      </w:r>
      <w:bookmarkEnd w:id="16"/>
    </w:p>
    <w:p w14:paraId="1A767136" w14:textId="01832561" w:rsidR="00752307" w:rsidRDefault="00565786" w:rsidP="00565786">
      <w:pPr>
        <w:spacing w:after="0"/>
        <w:jc w:val="both"/>
        <w:rPr>
          <w:b/>
          <w:i/>
          <w:lang w:eastAsia="ko-KR"/>
        </w:rPr>
      </w:pPr>
      <w:r w:rsidRPr="00EF4B7B">
        <w:rPr>
          <w:b/>
          <w:bCs/>
          <w:i/>
          <w:iCs/>
        </w:rPr>
        <w:t xml:space="preserve">Observation </w:t>
      </w:r>
      <w:r w:rsidRPr="00EF4B7B">
        <w:rPr>
          <w:b/>
          <w:bCs/>
          <w:i/>
          <w:iCs/>
        </w:rPr>
        <w:fldChar w:fldCharType="begin"/>
      </w:r>
      <w:r w:rsidRPr="00EF4B7B">
        <w:rPr>
          <w:b/>
          <w:bCs/>
          <w:i/>
          <w:iCs/>
        </w:rPr>
        <w:instrText xml:space="preserve"> SEQ Observation \* ARABIC </w:instrText>
      </w:r>
      <w:r w:rsidRPr="00EF4B7B">
        <w:rPr>
          <w:b/>
          <w:bCs/>
          <w:i/>
          <w:iCs/>
        </w:rPr>
        <w:fldChar w:fldCharType="separate"/>
      </w:r>
      <w:r w:rsidR="00B758B7">
        <w:rPr>
          <w:b/>
          <w:bCs/>
          <w:i/>
          <w:iCs/>
          <w:noProof/>
        </w:rPr>
        <w:t>8</w:t>
      </w:r>
      <w:r w:rsidRPr="00EF4B7B">
        <w:rPr>
          <w:b/>
          <w:bCs/>
          <w:i/>
          <w:iCs/>
        </w:rPr>
        <w:fldChar w:fldCharType="end"/>
      </w:r>
      <w:r w:rsidRPr="00EF4B7B">
        <w:t xml:space="preserve">: </w:t>
      </w:r>
      <w:bookmarkStart w:id="17" w:name="_Ref134784213"/>
      <w:r w:rsidRPr="00565786">
        <w:rPr>
          <w:b/>
          <w:i/>
          <w:lang w:eastAsia="ko-KR"/>
        </w:rPr>
        <w:t>Good scope of studying the solutions for the inter-site gNB CLI management with minimal or no impact to the UE</w:t>
      </w:r>
      <w:r w:rsidR="00A524D4" w:rsidRPr="00565786">
        <w:rPr>
          <w:b/>
          <w:i/>
          <w:lang w:eastAsia="ko-KR"/>
        </w:rPr>
        <w:t>.</w:t>
      </w:r>
      <w:bookmarkEnd w:id="17"/>
    </w:p>
    <w:p w14:paraId="77FBC5F8" w14:textId="77777777" w:rsidR="00565786" w:rsidRPr="00565786" w:rsidRDefault="00565786" w:rsidP="00565786">
      <w:pPr>
        <w:spacing w:after="0"/>
        <w:jc w:val="both"/>
        <w:rPr>
          <w:rStyle w:val="ui-provider"/>
          <w:b/>
          <w:i/>
          <w:lang w:eastAsia="ko-KR"/>
        </w:rPr>
      </w:pPr>
    </w:p>
    <w:p w14:paraId="2B4A4606" w14:textId="1A7F078D" w:rsidR="0032572A" w:rsidRDefault="00BE3472" w:rsidP="00EC03D5">
      <w:pPr>
        <w:spacing w:after="120"/>
        <w:jc w:val="both"/>
        <w:rPr>
          <w:lang w:val="en-US"/>
        </w:rPr>
      </w:pPr>
      <w:r>
        <w:rPr>
          <w:lang w:val="en-US"/>
        </w:rPr>
        <w:fldChar w:fldCharType="begin"/>
      </w:r>
      <w:r>
        <w:rPr>
          <w:lang w:val="en-US"/>
        </w:rPr>
        <w:instrText xml:space="preserve"> REF _Ref134782094 \h </w:instrText>
      </w:r>
      <w:r>
        <w:rPr>
          <w:lang w:val="en-US"/>
        </w:rPr>
      </w:r>
      <w:r>
        <w:rPr>
          <w:lang w:val="en-US"/>
        </w:rPr>
        <w:fldChar w:fldCharType="separate"/>
      </w:r>
      <w:r w:rsidR="00B758B7" w:rsidRPr="00B80335">
        <w:t xml:space="preserve">Table </w:t>
      </w:r>
      <w:r w:rsidR="00B758B7">
        <w:rPr>
          <w:noProof/>
        </w:rPr>
        <w:t>4</w:t>
      </w:r>
      <w:r>
        <w:rPr>
          <w:lang w:val="en-US"/>
        </w:rPr>
        <w:fldChar w:fldCharType="end"/>
      </w:r>
      <w:r w:rsidR="008B40EC">
        <w:rPr>
          <w:lang w:val="en-US"/>
        </w:rPr>
        <w:t xml:space="preserve"> shows the absolute values of packet latency and </w:t>
      </w:r>
      <w:r>
        <w:rPr>
          <w:lang w:val="en-US"/>
        </w:rPr>
        <w:fldChar w:fldCharType="begin"/>
      </w:r>
      <w:r>
        <w:rPr>
          <w:lang w:val="en-US"/>
        </w:rPr>
        <w:instrText xml:space="preserve"> REF _Ref134782076 \h </w:instrText>
      </w:r>
      <w:r>
        <w:rPr>
          <w:lang w:val="en-US"/>
        </w:rPr>
      </w:r>
      <w:r>
        <w:rPr>
          <w:lang w:val="en-US"/>
        </w:rPr>
        <w:fldChar w:fldCharType="separate"/>
      </w:r>
      <w:r w:rsidR="00B758B7">
        <w:t xml:space="preserve">Figure </w:t>
      </w:r>
      <w:r w:rsidR="00B758B7">
        <w:rPr>
          <w:noProof/>
        </w:rPr>
        <w:t>5</w:t>
      </w:r>
      <w:r>
        <w:rPr>
          <w:lang w:val="en-US"/>
        </w:rPr>
        <w:fldChar w:fldCharType="end"/>
      </w:r>
      <w:r w:rsidR="008B40EC">
        <w:rPr>
          <w:lang w:val="en-US"/>
        </w:rPr>
        <w:t xml:space="preserve"> shows the </w:t>
      </w:r>
      <w:r w:rsidR="003401A3">
        <w:rPr>
          <w:lang w:val="en-US"/>
        </w:rPr>
        <w:t>latency reduction</w:t>
      </w:r>
      <w:r w:rsidR="008B40EC">
        <w:rPr>
          <w:lang w:val="en-US"/>
        </w:rPr>
        <w:t xml:space="preserve"> of SBFD over TDD.</w:t>
      </w:r>
    </w:p>
    <w:p w14:paraId="4CE04EFB" w14:textId="77777777" w:rsidR="00EB174A" w:rsidRDefault="00EB174A" w:rsidP="00EC03D5">
      <w:pPr>
        <w:spacing w:after="120"/>
        <w:jc w:val="both"/>
        <w:rPr>
          <w:lang w:val="en-US"/>
        </w:rPr>
      </w:pPr>
    </w:p>
    <w:p w14:paraId="2B9ABC7A" w14:textId="77777777" w:rsidR="0032572A" w:rsidRDefault="0032572A" w:rsidP="0032572A">
      <w:pPr>
        <w:spacing w:after="120"/>
        <w:jc w:val="both"/>
        <w:rPr>
          <w:rStyle w:val="ui-provider"/>
        </w:rPr>
      </w:pPr>
      <w:r w:rsidRPr="00DB1286">
        <w:rPr>
          <w:rStyle w:val="ui-provider"/>
          <w:noProof/>
        </w:rPr>
        <w:drawing>
          <wp:inline distT="0" distB="0" distL="0" distR="0" wp14:anchorId="5230A722" wp14:editId="2F88AF79">
            <wp:extent cx="6122035" cy="21602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2160270"/>
                    </a:xfrm>
                    <a:prstGeom prst="rect">
                      <a:avLst/>
                    </a:prstGeom>
                    <a:noFill/>
                    <a:ln>
                      <a:noFill/>
                    </a:ln>
                  </pic:spPr>
                </pic:pic>
              </a:graphicData>
            </a:graphic>
          </wp:inline>
        </w:drawing>
      </w:r>
    </w:p>
    <w:p w14:paraId="10E8FFBF" w14:textId="57E73448" w:rsidR="0032572A" w:rsidRPr="0032572A" w:rsidRDefault="003E5CCF" w:rsidP="00AE631F">
      <w:pPr>
        <w:spacing w:after="120"/>
        <w:jc w:val="center"/>
      </w:pPr>
      <w:bookmarkStart w:id="18" w:name="_Ref134782076"/>
      <w:r>
        <w:t xml:space="preserve">Figure </w:t>
      </w:r>
      <w:r>
        <w:fldChar w:fldCharType="begin"/>
      </w:r>
      <w:r>
        <w:instrText xml:space="preserve"> SEQ Figure \* ARABIC </w:instrText>
      </w:r>
      <w:r>
        <w:fldChar w:fldCharType="separate"/>
      </w:r>
      <w:r w:rsidR="00B758B7">
        <w:rPr>
          <w:noProof/>
        </w:rPr>
        <w:t>5</w:t>
      </w:r>
      <w:r>
        <w:fldChar w:fldCharType="end"/>
      </w:r>
      <w:bookmarkEnd w:id="18"/>
      <w:r>
        <w:t>:</w:t>
      </w:r>
      <w:r w:rsidR="0032572A">
        <w:rPr>
          <w:rStyle w:val="ui-provider"/>
        </w:rPr>
        <w:t xml:space="preserve"> Latency reduction of SBFD over TDD</w:t>
      </w:r>
    </w:p>
    <w:p w14:paraId="12D6C5EC" w14:textId="404A2AF1" w:rsidR="002F06C3" w:rsidRDefault="00B80335" w:rsidP="008F006D">
      <w:pPr>
        <w:spacing w:after="0"/>
        <w:jc w:val="center"/>
        <w:rPr>
          <w:rStyle w:val="ui-provider"/>
        </w:rPr>
      </w:pPr>
      <w:bookmarkStart w:id="19" w:name="_Ref134782094"/>
      <w:r w:rsidRPr="00B80335">
        <w:t xml:space="preserve">Table </w:t>
      </w:r>
      <w:r w:rsidRPr="00B80335">
        <w:fldChar w:fldCharType="begin"/>
      </w:r>
      <w:r w:rsidRPr="00B80335">
        <w:instrText xml:space="preserve"> SEQ Table \* ARABIC </w:instrText>
      </w:r>
      <w:r w:rsidRPr="00B80335">
        <w:fldChar w:fldCharType="separate"/>
      </w:r>
      <w:r w:rsidR="00B758B7">
        <w:rPr>
          <w:noProof/>
        </w:rPr>
        <w:t>4</w:t>
      </w:r>
      <w:r w:rsidRPr="00B80335">
        <w:fldChar w:fldCharType="end"/>
      </w:r>
      <w:bookmarkEnd w:id="19"/>
      <w:r w:rsidRPr="00B80335">
        <w:t>:</w:t>
      </w:r>
      <w:r w:rsidRPr="003A1B8E">
        <w:rPr>
          <w:b/>
          <w:bCs/>
        </w:rPr>
        <w:t xml:space="preserve"> </w:t>
      </w:r>
      <w:r w:rsidR="00176418">
        <w:rPr>
          <w:rStyle w:val="ui-provider"/>
        </w:rPr>
        <w:t xml:space="preserve">Packet Latency </w:t>
      </w:r>
      <w:r w:rsidR="002F06C3">
        <w:rPr>
          <w:rStyle w:val="ui-provider"/>
        </w:rPr>
        <w:t>(absolute values)</w:t>
      </w:r>
    </w:p>
    <w:p w14:paraId="6028A88B" w14:textId="5FF98312" w:rsidR="002F06C3" w:rsidRDefault="00C854C9" w:rsidP="00176418">
      <w:pPr>
        <w:spacing w:after="120"/>
        <w:jc w:val="center"/>
        <w:rPr>
          <w:rStyle w:val="ui-provider"/>
        </w:rPr>
      </w:pPr>
      <w:r>
        <w:rPr>
          <w:noProof/>
        </w:rPr>
        <w:drawing>
          <wp:inline distT="0" distB="0" distL="0" distR="0" wp14:anchorId="022630DF" wp14:editId="7451AC73">
            <wp:extent cx="6085222" cy="362866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086138" cy="3629209"/>
                    </a:xfrm>
                    <a:prstGeom prst="rect">
                      <a:avLst/>
                    </a:prstGeom>
                  </pic:spPr>
                </pic:pic>
              </a:graphicData>
            </a:graphic>
          </wp:inline>
        </w:drawing>
      </w:r>
    </w:p>
    <w:p w14:paraId="4DA6D7D8" w14:textId="0CDD6938" w:rsidR="00457680" w:rsidRDefault="00457680" w:rsidP="00EC03D5">
      <w:pPr>
        <w:spacing w:after="120"/>
        <w:jc w:val="both"/>
        <w:rPr>
          <w:rStyle w:val="ui-provider"/>
        </w:rPr>
      </w:pPr>
      <w:r>
        <w:rPr>
          <w:rStyle w:val="ui-provider"/>
        </w:rPr>
        <w:t xml:space="preserve">From </w:t>
      </w:r>
      <w:r w:rsidR="00BE3472">
        <w:rPr>
          <w:rStyle w:val="ui-provider"/>
        </w:rPr>
        <w:fldChar w:fldCharType="begin"/>
      </w:r>
      <w:r w:rsidR="00BE3472">
        <w:rPr>
          <w:rStyle w:val="ui-provider"/>
        </w:rPr>
        <w:instrText xml:space="preserve"> REF _Ref134782076 \h </w:instrText>
      </w:r>
      <w:r w:rsidR="00BE3472">
        <w:rPr>
          <w:rStyle w:val="ui-provider"/>
        </w:rPr>
      </w:r>
      <w:r w:rsidR="00BE3472">
        <w:rPr>
          <w:rStyle w:val="ui-provider"/>
        </w:rPr>
        <w:fldChar w:fldCharType="separate"/>
      </w:r>
      <w:r w:rsidR="00B758B7">
        <w:t xml:space="preserve">Figure </w:t>
      </w:r>
      <w:r w:rsidR="00B758B7">
        <w:rPr>
          <w:noProof/>
        </w:rPr>
        <w:t>5</w:t>
      </w:r>
      <w:r w:rsidR="00BE3472">
        <w:rPr>
          <w:rStyle w:val="ui-provider"/>
        </w:rPr>
        <w:fldChar w:fldCharType="end"/>
      </w:r>
      <w:r w:rsidR="00264161">
        <w:rPr>
          <w:rStyle w:val="ui-provider"/>
        </w:rPr>
        <w:t>, when comparing DL latency of SBFD and TDD, SBFD is worse off due to the DL resource loss and inter-UE CLI. In contrast, UL latency of SBFD has an advantage compared to TDD, due to the UL resource gain with the best RSIC and RCIC capabilities of gNB.</w:t>
      </w:r>
    </w:p>
    <w:p w14:paraId="47571E39" w14:textId="4AB5BF27" w:rsidR="008E48CD" w:rsidRPr="008E48CD" w:rsidRDefault="008E48CD" w:rsidP="008E48CD">
      <w:pPr>
        <w:spacing w:after="120"/>
        <w:jc w:val="both"/>
        <w:rPr>
          <w:rStyle w:val="ui-provider"/>
          <w:b/>
          <w:i/>
          <w:lang w:eastAsia="ko-KR"/>
        </w:rPr>
      </w:pPr>
      <w:r w:rsidRPr="00EF4B7B">
        <w:rPr>
          <w:b/>
          <w:bCs/>
          <w:i/>
          <w:iCs/>
        </w:rPr>
        <w:t xml:space="preserve">Observation </w:t>
      </w:r>
      <w:r w:rsidRPr="00EF4B7B">
        <w:rPr>
          <w:b/>
          <w:bCs/>
          <w:i/>
          <w:iCs/>
        </w:rPr>
        <w:fldChar w:fldCharType="begin"/>
      </w:r>
      <w:r w:rsidRPr="00EF4B7B">
        <w:rPr>
          <w:b/>
          <w:bCs/>
          <w:i/>
          <w:iCs/>
        </w:rPr>
        <w:instrText xml:space="preserve"> SEQ Observation \* ARABIC </w:instrText>
      </w:r>
      <w:r w:rsidRPr="00EF4B7B">
        <w:rPr>
          <w:b/>
          <w:bCs/>
          <w:i/>
          <w:iCs/>
        </w:rPr>
        <w:fldChar w:fldCharType="separate"/>
      </w:r>
      <w:r w:rsidR="00B758B7">
        <w:rPr>
          <w:b/>
          <w:bCs/>
          <w:i/>
          <w:iCs/>
          <w:noProof/>
        </w:rPr>
        <w:t>9</w:t>
      </w:r>
      <w:r w:rsidRPr="00EF4B7B">
        <w:rPr>
          <w:b/>
          <w:bCs/>
          <w:i/>
          <w:iCs/>
        </w:rPr>
        <w:fldChar w:fldCharType="end"/>
      </w:r>
      <w:r w:rsidRPr="00EF4B7B">
        <w:t xml:space="preserve">: </w:t>
      </w:r>
      <w:bookmarkStart w:id="20" w:name="_Ref134784233"/>
      <w:r w:rsidRPr="00824709">
        <w:rPr>
          <w:b/>
          <w:i/>
          <w:lang w:eastAsia="ko-KR"/>
        </w:rPr>
        <w:t>DL latency of SBFD suffers</w:t>
      </w:r>
      <w:r>
        <w:rPr>
          <w:b/>
          <w:i/>
          <w:lang w:eastAsia="ko-KR"/>
        </w:rPr>
        <w:t xml:space="preserve"> (~124% loss in mean packet latency of medium RU)</w:t>
      </w:r>
      <w:r w:rsidRPr="00824709">
        <w:rPr>
          <w:b/>
          <w:i/>
          <w:lang w:eastAsia="ko-KR"/>
        </w:rPr>
        <w:t xml:space="preserve"> when compared to TDD due to DL resource loss and inter-UE CLI</w:t>
      </w:r>
      <w:bookmarkEnd w:id="20"/>
    </w:p>
    <w:p w14:paraId="202E7AB4" w14:textId="449B8CEA" w:rsidR="0091268A" w:rsidRPr="008E48CD" w:rsidRDefault="008E48CD" w:rsidP="008E48CD">
      <w:pPr>
        <w:spacing w:after="120"/>
        <w:jc w:val="both"/>
        <w:rPr>
          <w:rStyle w:val="ui-provider"/>
          <w:b/>
          <w:i/>
          <w:lang w:eastAsia="ko-KR"/>
        </w:rPr>
      </w:pPr>
      <w:r w:rsidRPr="00EF4B7B">
        <w:rPr>
          <w:b/>
          <w:bCs/>
          <w:i/>
          <w:iCs/>
        </w:rPr>
        <w:t xml:space="preserve">Observation </w:t>
      </w:r>
      <w:r w:rsidRPr="00EF4B7B">
        <w:rPr>
          <w:b/>
          <w:bCs/>
          <w:i/>
          <w:iCs/>
        </w:rPr>
        <w:fldChar w:fldCharType="begin"/>
      </w:r>
      <w:r w:rsidRPr="00EF4B7B">
        <w:rPr>
          <w:b/>
          <w:bCs/>
          <w:i/>
          <w:iCs/>
        </w:rPr>
        <w:instrText xml:space="preserve"> SEQ Observation \* ARABIC </w:instrText>
      </w:r>
      <w:r w:rsidRPr="00EF4B7B">
        <w:rPr>
          <w:b/>
          <w:bCs/>
          <w:i/>
          <w:iCs/>
        </w:rPr>
        <w:fldChar w:fldCharType="separate"/>
      </w:r>
      <w:r w:rsidR="00B758B7">
        <w:rPr>
          <w:b/>
          <w:bCs/>
          <w:i/>
          <w:iCs/>
          <w:noProof/>
        </w:rPr>
        <w:t>10</w:t>
      </w:r>
      <w:r w:rsidRPr="00EF4B7B">
        <w:rPr>
          <w:b/>
          <w:bCs/>
          <w:i/>
          <w:iCs/>
        </w:rPr>
        <w:fldChar w:fldCharType="end"/>
      </w:r>
      <w:r w:rsidRPr="00EF4B7B">
        <w:t xml:space="preserve">: </w:t>
      </w:r>
      <w:bookmarkStart w:id="21" w:name="_Ref134784248"/>
      <w:r w:rsidRPr="008E48CD">
        <w:rPr>
          <w:b/>
          <w:i/>
          <w:lang w:eastAsia="ko-KR"/>
        </w:rPr>
        <w:t>UL latency of SBFD is gained (~43% loss in mean packet latency of medium RU) when compared to TDD due to UL resource gain and with the best RSIC and RCIC capabilities at gNB.</w:t>
      </w:r>
      <w:bookmarkEnd w:id="21"/>
    </w:p>
    <w:p w14:paraId="73D92F48" w14:textId="725FC561" w:rsidR="0091268A" w:rsidRPr="00A7068E" w:rsidRDefault="0091268A" w:rsidP="0091268A">
      <w:pPr>
        <w:pStyle w:val="Heading1"/>
        <w:rPr>
          <w:rStyle w:val="ui-provider"/>
        </w:rPr>
      </w:pPr>
      <w:r w:rsidRPr="00A7068E">
        <w:rPr>
          <w:rStyle w:val="ui-provider"/>
        </w:rPr>
        <w:lastRenderedPageBreak/>
        <w:t>CSI Reporting Evaluation Results</w:t>
      </w:r>
    </w:p>
    <w:p w14:paraId="201C2FD9" w14:textId="0DD6B797" w:rsidR="006C548B" w:rsidRDefault="006C548B" w:rsidP="0091268A">
      <w:pPr>
        <w:spacing w:after="0"/>
        <w:jc w:val="both"/>
        <w:rPr>
          <w:rFonts w:eastAsia="Malgun Gothic"/>
        </w:rPr>
      </w:pPr>
      <w:r>
        <w:rPr>
          <w:rStyle w:val="ui-provider"/>
        </w:rPr>
        <w:t xml:space="preserve">In RAN1#112, </w:t>
      </w:r>
      <w:r w:rsidRPr="00397FE2">
        <w:t>two CSI reporting options wa</w:t>
      </w:r>
      <w:r>
        <w:t>re</w:t>
      </w:r>
      <w:r w:rsidRPr="00397FE2">
        <w:t xml:space="preserve"> agreed to be studied for CSI reports associated with periodic/semi-persistent CSI-RS </w:t>
      </w:r>
      <w:r w:rsidRPr="00397FE2">
        <w:rPr>
          <w:rFonts w:eastAsia="Malgun Gothic"/>
        </w:rPr>
        <w:t>across SBFD and non-SBFD slots</w:t>
      </w:r>
      <w:r>
        <w:rPr>
          <w:rFonts w:eastAsia="Malgun Gothic"/>
        </w:rPr>
        <w:t>/</w:t>
      </w:r>
      <w:r w:rsidRPr="00397FE2">
        <w:rPr>
          <w:rFonts w:eastAsia="Malgun Gothic"/>
        </w:rPr>
        <w:t>symbols.</w:t>
      </w:r>
    </w:p>
    <w:p w14:paraId="21BE2A28" w14:textId="1763F3EF" w:rsidR="00CA12F6" w:rsidRDefault="00CA12F6" w:rsidP="0091268A">
      <w:pPr>
        <w:spacing w:after="0"/>
        <w:jc w:val="both"/>
        <w:rPr>
          <w:rFonts w:eastAsia="Malgun Gothic"/>
        </w:rPr>
      </w:pPr>
    </w:p>
    <w:tbl>
      <w:tblPr>
        <w:tblStyle w:val="TableGrid"/>
        <w:tblW w:w="9060" w:type="dxa"/>
        <w:tblLook w:val="04A0" w:firstRow="1" w:lastRow="0" w:firstColumn="1" w:lastColumn="0" w:noHBand="0" w:noVBand="1"/>
      </w:tblPr>
      <w:tblGrid>
        <w:gridCol w:w="9060"/>
      </w:tblGrid>
      <w:tr w:rsidR="00CA12F6" w14:paraId="43C3DAD9" w14:textId="77777777" w:rsidTr="000A32B6">
        <w:trPr>
          <w:trHeight w:val="459"/>
        </w:trPr>
        <w:tc>
          <w:tcPr>
            <w:tcW w:w="9060" w:type="dxa"/>
          </w:tcPr>
          <w:p w14:paraId="708FE0EB" w14:textId="77777777" w:rsidR="00CA12F6" w:rsidRPr="00630E70" w:rsidRDefault="00CA12F6" w:rsidP="000A32B6">
            <w:pPr>
              <w:spacing w:after="0"/>
              <w:rPr>
                <w:rFonts w:eastAsia="Malgun Gothic"/>
                <w:b/>
              </w:rPr>
            </w:pPr>
            <w:r w:rsidRPr="00630E70">
              <w:rPr>
                <w:rFonts w:eastAsia="Malgun Gothic"/>
                <w:b/>
              </w:rPr>
              <w:t>Agreement:</w:t>
            </w:r>
          </w:p>
          <w:p w14:paraId="5AB49001" w14:textId="77777777" w:rsidR="00CA12F6" w:rsidRDefault="00CA12F6" w:rsidP="000A32B6">
            <w:pPr>
              <w:spacing w:after="0"/>
              <w:rPr>
                <w:rFonts w:eastAsia="Malgun Gothic"/>
              </w:rPr>
            </w:pPr>
            <w:r>
              <w:rPr>
                <w:rFonts w:eastAsia="Malgun Gothic"/>
              </w:rPr>
              <w:t>For SBFD-aware UEs, study the following options for CSI report associated with periodic/semi-persistent CSI-RS, at least, across SBFD symbols and non-SBFD symbols in different slots (each CSI-RS resource within a slot has either all SBFD or all non-SBFD symbols):</w:t>
            </w:r>
          </w:p>
          <w:p w14:paraId="5C056149" w14:textId="77777777" w:rsidR="00CA12F6" w:rsidRDefault="00CA12F6" w:rsidP="000A32B6">
            <w:pPr>
              <w:numPr>
                <w:ilvl w:val="1"/>
                <w:numId w:val="12"/>
              </w:numPr>
              <w:suppressAutoHyphens/>
              <w:spacing w:after="0" w:line="259" w:lineRule="auto"/>
              <w:jc w:val="both"/>
              <w:rPr>
                <w:rFonts w:eastAsia="Malgun Gothic"/>
              </w:rPr>
            </w:pPr>
            <w:r>
              <w:rPr>
                <w:rFonts w:eastAsia="Malgun Gothic"/>
              </w:rPr>
              <w:t>Option 1: separate CSI reporting for SBFD symbols and non-SBFD symbols</w:t>
            </w:r>
          </w:p>
          <w:p w14:paraId="13B938C7" w14:textId="21AA6226" w:rsidR="00CA12F6" w:rsidRPr="00CA12F6" w:rsidRDefault="00CA12F6" w:rsidP="000A32B6">
            <w:pPr>
              <w:numPr>
                <w:ilvl w:val="1"/>
                <w:numId w:val="12"/>
              </w:numPr>
              <w:suppressAutoHyphens/>
              <w:spacing w:after="0" w:line="259" w:lineRule="auto"/>
              <w:jc w:val="both"/>
              <w:rPr>
                <w:rFonts w:eastAsia="Malgun Gothic"/>
              </w:rPr>
            </w:pPr>
            <w:r>
              <w:rPr>
                <w:rFonts w:eastAsia="Malgun Gothic"/>
              </w:rPr>
              <w:t>Option 2: same CSI reporting for SBFD symbols and non-SBFD symbols</w:t>
            </w:r>
          </w:p>
        </w:tc>
      </w:tr>
    </w:tbl>
    <w:p w14:paraId="7091E286" w14:textId="06A553A3" w:rsidR="00CA12F6" w:rsidRDefault="00CA12F6" w:rsidP="0091268A">
      <w:pPr>
        <w:spacing w:after="0"/>
        <w:jc w:val="both"/>
        <w:rPr>
          <w:rStyle w:val="ui-provider"/>
        </w:rPr>
      </w:pPr>
    </w:p>
    <w:p w14:paraId="757DC2F0" w14:textId="7C9B3665" w:rsidR="00CA12F6" w:rsidRDefault="00CA12F6" w:rsidP="00D63416">
      <w:pPr>
        <w:spacing w:after="0"/>
        <w:jc w:val="both"/>
      </w:pPr>
      <w:r w:rsidRPr="005363D3">
        <w:t>To evaluate the performance of separate CSI</w:t>
      </w:r>
      <w:r>
        <w:t xml:space="preserve"> reporting</w:t>
      </w:r>
      <w:r w:rsidRPr="005363D3">
        <w:t xml:space="preserve"> versus same CSI</w:t>
      </w:r>
      <w:r>
        <w:t xml:space="preserve"> reporting</w:t>
      </w:r>
      <w:r w:rsidRPr="005363D3">
        <w:t>, an analysis</w:t>
      </w:r>
      <w:r>
        <w:t xml:space="preserve"> is</w:t>
      </w:r>
      <w:r w:rsidRPr="005363D3">
        <w:t xml:space="preserve"> conducted based on Deployment Case 1 of SBFD, using the FR1 UMa scenario for comparison. </w:t>
      </w:r>
      <w:r>
        <w:t xml:space="preserve">Both full buffer and FTP3 traffic are considered in the analysis. </w:t>
      </w:r>
    </w:p>
    <w:p w14:paraId="6982C8FC" w14:textId="07EF4FA6" w:rsidR="000F4861" w:rsidRDefault="000F4861" w:rsidP="00D63416">
      <w:pPr>
        <w:pStyle w:val="Heading2"/>
        <w:spacing w:after="0"/>
      </w:pPr>
      <w:r>
        <w:t xml:space="preserve">Full Buffer Traffic </w:t>
      </w:r>
    </w:p>
    <w:p w14:paraId="02CF4FB3" w14:textId="0E971F44" w:rsidR="000F4861" w:rsidRDefault="000F4861" w:rsidP="00D63416">
      <w:pPr>
        <w:pStyle w:val="Heading3"/>
        <w:spacing w:after="0"/>
      </w:pPr>
      <w:r>
        <w:t>SINR and BLER Analysis</w:t>
      </w:r>
    </w:p>
    <w:p w14:paraId="1853D5DF" w14:textId="77777777" w:rsidR="00DD1182" w:rsidRPr="000F4861" w:rsidRDefault="00DD1182" w:rsidP="00DD1182">
      <w:pPr>
        <w:spacing w:before="240"/>
        <w:jc w:val="both"/>
      </w:pPr>
      <w:r>
        <w:t xml:space="preserve">The SBFD slot configuration ‘DXXXU’ is used for this evaluation. In this SBFD slot configuration, </w:t>
      </w:r>
      <w:r w:rsidRPr="00DE6F4D">
        <w:rPr>
          <w:rStyle w:val="ui-provider"/>
        </w:rPr>
        <w:t>DL resources are distributed across two types of slots: DL-only slots and SBFD slots.</w:t>
      </w:r>
      <w:r>
        <w:rPr>
          <w:rStyle w:val="ui-provider"/>
        </w:rPr>
        <w:t xml:space="preserve"> Note that </w:t>
      </w:r>
      <w:r w:rsidRPr="00DE6F4D">
        <w:rPr>
          <w:rStyle w:val="ui-provider"/>
        </w:rPr>
        <w:t>DL resources on SBFD slots</w:t>
      </w:r>
      <w:r>
        <w:rPr>
          <w:rStyle w:val="ui-provider"/>
        </w:rPr>
        <w:t>/symbols</w:t>
      </w:r>
      <w:r w:rsidRPr="00DE6F4D">
        <w:rPr>
          <w:rStyle w:val="ui-provider"/>
        </w:rPr>
        <w:t xml:space="preserve"> are affected by both CCI and inter-UE CLI</w:t>
      </w:r>
      <w:r>
        <w:rPr>
          <w:rStyle w:val="ui-provider"/>
        </w:rPr>
        <w:t>, whereas DL resources on non-SBFD slots/symbols are affected by only CCI. This motivates the study of slot-specific CSI reporting</w:t>
      </w:r>
      <w:r w:rsidRPr="00DE6F4D">
        <w:rPr>
          <w:rStyle w:val="ui-provider"/>
        </w:rPr>
        <w:t xml:space="preserve">. </w:t>
      </w:r>
      <w:r>
        <w:rPr>
          <w:rStyle w:val="ui-provider"/>
        </w:rPr>
        <w:t xml:space="preserve">The need for separate CSI reporting will be especially needed in clustered UE scenarios where </w:t>
      </w:r>
      <w:r w:rsidRPr="00DE6F4D">
        <w:rPr>
          <w:rStyle w:val="ui-provider"/>
        </w:rPr>
        <w:t>CLI tends to dominate over CCI</w:t>
      </w:r>
      <w:r>
        <w:rPr>
          <w:rStyle w:val="ui-provider"/>
        </w:rPr>
        <w:t xml:space="preserve">. </w:t>
      </w:r>
    </w:p>
    <w:p w14:paraId="012AB40D" w14:textId="1DB5D370" w:rsidR="00847737" w:rsidRDefault="00847737" w:rsidP="00847737">
      <w:pPr>
        <w:spacing w:after="120"/>
        <w:jc w:val="both"/>
        <w:rPr>
          <w:rStyle w:val="ui-provider"/>
        </w:rPr>
      </w:pPr>
      <w:r>
        <w:rPr>
          <w:rStyle w:val="ui-provider"/>
        </w:rPr>
        <w:t xml:space="preserve">In </w:t>
      </w:r>
      <w:r w:rsidR="00BE3472">
        <w:rPr>
          <w:rStyle w:val="ui-provider"/>
        </w:rPr>
        <w:fldChar w:fldCharType="begin"/>
      </w:r>
      <w:r w:rsidR="00BE3472">
        <w:rPr>
          <w:rStyle w:val="ui-provider"/>
        </w:rPr>
        <w:instrText xml:space="preserve"> REF _Ref134782160 \h </w:instrText>
      </w:r>
      <w:r w:rsidR="00BE3472">
        <w:rPr>
          <w:rStyle w:val="ui-provider"/>
        </w:rPr>
      </w:r>
      <w:r w:rsidR="00BE3472">
        <w:rPr>
          <w:rStyle w:val="ui-provider"/>
        </w:rPr>
        <w:fldChar w:fldCharType="separate"/>
      </w:r>
      <w:r w:rsidR="00B758B7">
        <w:t xml:space="preserve">Figure </w:t>
      </w:r>
      <w:r w:rsidR="00B758B7">
        <w:rPr>
          <w:noProof/>
        </w:rPr>
        <w:t>6</w:t>
      </w:r>
      <w:r w:rsidR="00BE3472">
        <w:rPr>
          <w:rStyle w:val="ui-provider"/>
        </w:rPr>
        <w:fldChar w:fldCharType="end"/>
      </w:r>
      <w:r w:rsidR="00F9170D">
        <w:rPr>
          <w:rStyle w:val="ui-provider"/>
        </w:rPr>
        <w:t xml:space="preserve"> (a)</w:t>
      </w:r>
      <w:r>
        <w:rPr>
          <w:rStyle w:val="ui-provider"/>
        </w:rPr>
        <w:t>, e</w:t>
      </w:r>
      <w:r w:rsidRPr="00DE6F4D">
        <w:rPr>
          <w:rStyle w:val="ui-provider"/>
        </w:rPr>
        <w:t xml:space="preserve">ffective SINR </w:t>
      </w:r>
      <w:r>
        <w:rPr>
          <w:rStyle w:val="ui-provider"/>
        </w:rPr>
        <w:t>is</w:t>
      </w:r>
      <w:r w:rsidRPr="00DE6F4D">
        <w:rPr>
          <w:rStyle w:val="ui-provider"/>
        </w:rPr>
        <w:t xml:space="preserve"> collected separately for</w:t>
      </w:r>
      <w:r w:rsidR="00EB174A">
        <w:rPr>
          <w:rStyle w:val="ui-provider"/>
        </w:rPr>
        <w:t xml:space="preserve"> SBFD</w:t>
      </w:r>
      <w:r w:rsidRPr="00DE6F4D">
        <w:rPr>
          <w:rStyle w:val="ui-provider"/>
        </w:rPr>
        <w:t xml:space="preserve"> and </w:t>
      </w:r>
      <w:r w:rsidR="00EB174A">
        <w:rPr>
          <w:rStyle w:val="ui-provider"/>
        </w:rPr>
        <w:t>non-</w:t>
      </w:r>
      <w:r w:rsidRPr="00DE6F4D">
        <w:rPr>
          <w:rStyle w:val="ui-provider"/>
        </w:rPr>
        <w:t>SBFD slots and compared</w:t>
      </w:r>
      <w:r>
        <w:rPr>
          <w:rStyle w:val="ui-provider"/>
        </w:rPr>
        <w:t xml:space="preserve">. </w:t>
      </w:r>
      <w:r w:rsidRPr="00DE6F4D">
        <w:rPr>
          <w:rStyle w:val="ui-provider"/>
        </w:rPr>
        <w:t xml:space="preserve">As expected, DL-SINR on SBFD slots </w:t>
      </w:r>
      <w:r>
        <w:rPr>
          <w:rStyle w:val="ui-provider"/>
        </w:rPr>
        <w:t>is</w:t>
      </w:r>
      <w:r w:rsidRPr="00DE6F4D">
        <w:rPr>
          <w:rStyle w:val="ui-provider"/>
        </w:rPr>
        <w:t xml:space="preserve"> lower than that on </w:t>
      </w:r>
      <w:r w:rsidR="00EB174A">
        <w:rPr>
          <w:rStyle w:val="ui-provider"/>
        </w:rPr>
        <w:t>non-SBFD</w:t>
      </w:r>
      <w:r w:rsidRPr="00DE6F4D">
        <w:rPr>
          <w:rStyle w:val="ui-provider"/>
        </w:rPr>
        <w:t xml:space="preserve"> slots. This underscores the importance of separate CSI </w:t>
      </w:r>
      <w:r>
        <w:rPr>
          <w:rStyle w:val="ui-provider"/>
        </w:rPr>
        <w:t xml:space="preserve">reporting </w:t>
      </w:r>
      <w:r w:rsidRPr="00DE6F4D">
        <w:rPr>
          <w:rStyle w:val="ui-provider"/>
        </w:rPr>
        <w:t>and link adaptation</w:t>
      </w:r>
      <w:r w:rsidR="00C918D1">
        <w:rPr>
          <w:rStyle w:val="ui-provider"/>
        </w:rPr>
        <w:t xml:space="preserve"> for</w:t>
      </w:r>
      <w:r w:rsidR="004500C2">
        <w:rPr>
          <w:rStyle w:val="ui-provider"/>
        </w:rPr>
        <w:t xml:space="preserve"> each slot type</w:t>
      </w:r>
      <w:r w:rsidR="00C918D1">
        <w:rPr>
          <w:rStyle w:val="ui-provider"/>
        </w:rPr>
        <w:t xml:space="preserve">. </w:t>
      </w:r>
    </w:p>
    <w:p w14:paraId="1A4D9098" w14:textId="174B4A18" w:rsidR="00F9170D" w:rsidRDefault="0022515A" w:rsidP="00F9170D">
      <w:pPr>
        <w:spacing w:after="120"/>
        <w:jc w:val="center"/>
        <w:rPr>
          <w:rStyle w:val="ui-provider"/>
        </w:rPr>
      </w:pPr>
      <w:r w:rsidRPr="008C1827">
        <w:rPr>
          <w:noProof/>
        </w:rPr>
        <w:drawing>
          <wp:inline distT="0" distB="0" distL="0" distR="0" wp14:anchorId="34C10C84" wp14:editId="6AFD01BE">
            <wp:extent cx="2663190" cy="1912022"/>
            <wp:effectExtent l="0" t="0" r="3810" b="0"/>
            <wp:docPr id="1" name="Content Placeholder 4" descr="A picture containing text, line, diagram, plot&#10;&#10;Description automatically generated">
              <a:extLst xmlns:a="http://schemas.openxmlformats.org/drawingml/2006/main">
                <a:ext uri="{FF2B5EF4-FFF2-40B4-BE49-F238E27FC236}">
                  <a16:creationId xmlns:a16="http://schemas.microsoft.com/office/drawing/2014/main" id="{5F106CA4-0F74-4739-AA5A-AB4D646A0E5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 name="Content Placeholder 4" descr="A picture containing text, line, diagram, plot&#10;&#10;Description automatically generated">
                      <a:extLst>
                        <a:ext uri="{FF2B5EF4-FFF2-40B4-BE49-F238E27FC236}">
                          <a16:creationId xmlns:a16="http://schemas.microsoft.com/office/drawing/2014/main" id="{5F106CA4-0F74-4739-AA5A-AB4D646A0E5A}"/>
                        </a:ext>
                      </a:extLst>
                    </pic:cNvPr>
                    <pic:cNvPicPr>
                      <a:picLocks noGrp="1" noChangeAspect="1"/>
                    </pic:cNvPicPr>
                  </pic:nvPicPr>
                  <pic:blipFill rotWithShape="1">
                    <a:blip r:embed="rId21"/>
                    <a:srcRect t="4038"/>
                    <a:stretch/>
                  </pic:blipFill>
                  <pic:spPr bwMode="auto">
                    <a:xfrm>
                      <a:off x="0" y="0"/>
                      <a:ext cx="2672628" cy="1918798"/>
                    </a:xfrm>
                    <a:prstGeom prst="rect">
                      <a:avLst/>
                    </a:prstGeom>
                    <a:ln>
                      <a:noFill/>
                    </a:ln>
                    <a:extLst>
                      <a:ext uri="{53640926-AAD7-44D8-BBD7-CCE9431645EC}">
                        <a14:shadowObscured xmlns:a14="http://schemas.microsoft.com/office/drawing/2010/main"/>
                      </a:ext>
                    </a:extLst>
                  </pic:spPr>
                </pic:pic>
              </a:graphicData>
            </a:graphic>
          </wp:inline>
        </w:drawing>
      </w:r>
      <w:r w:rsidR="00F9170D" w:rsidRPr="00C330F2">
        <w:rPr>
          <w:noProof/>
        </w:rPr>
        <w:drawing>
          <wp:inline distT="0" distB="0" distL="0" distR="0" wp14:anchorId="5C327594" wp14:editId="772073F1">
            <wp:extent cx="2599690" cy="1859624"/>
            <wp:effectExtent l="0" t="0" r="0" b="7620"/>
            <wp:docPr id="2" name="Content Placeholder 10" descr="A picture containing text, line, diagram, plot&#10;&#10;Description automatically generated">
              <a:extLst xmlns:a="http://schemas.openxmlformats.org/drawingml/2006/main">
                <a:ext uri="{FF2B5EF4-FFF2-40B4-BE49-F238E27FC236}">
                  <a16:creationId xmlns:a16="http://schemas.microsoft.com/office/drawing/2014/main" id="{401797DA-95CC-409D-9AE2-965331107E84}"/>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 name="Content Placeholder 10" descr="A picture containing text, line, diagram, plot&#10;&#10;Description automatically generated">
                      <a:extLst>
                        <a:ext uri="{FF2B5EF4-FFF2-40B4-BE49-F238E27FC236}">
                          <a16:creationId xmlns:a16="http://schemas.microsoft.com/office/drawing/2014/main" id="{401797DA-95CC-409D-9AE2-965331107E84}"/>
                        </a:ext>
                      </a:extLst>
                    </pic:cNvPr>
                    <pic:cNvPicPr>
                      <a:picLocks noGrp="1" noChangeAspect="1"/>
                    </pic:cNvPicPr>
                  </pic:nvPicPr>
                  <pic:blipFill rotWithShape="1">
                    <a:blip r:embed="rId22"/>
                    <a:srcRect t="4507"/>
                    <a:stretch/>
                  </pic:blipFill>
                  <pic:spPr bwMode="auto">
                    <a:xfrm>
                      <a:off x="0" y="0"/>
                      <a:ext cx="2627508" cy="1879523"/>
                    </a:xfrm>
                    <a:prstGeom prst="rect">
                      <a:avLst/>
                    </a:prstGeom>
                    <a:ln>
                      <a:noFill/>
                    </a:ln>
                    <a:extLst>
                      <a:ext uri="{53640926-AAD7-44D8-BBD7-CCE9431645EC}">
                        <a14:shadowObscured xmlns:a14="http://schemas.microsoft.com/office/drawing/2010/main"/>
                      </a:ext>
                    </a:extLst>
                  </pic:spPr>
                </pic:pic>
              </a:graphicData>
            </a:graphic>
          </wp:inline>
        </w:drawing>
      </w:r>
    </w:p>
    <w:p w14:paraId="355F2786" w14:textId="0FE17F29" w:rsidR="00F9170D" w:rsidRDefault="00F9170D" w:rsidP="00F9170D">
      <w:pPr>
        <w:pStyle w:val="ListParagraph"/>
        <w:numPr>
          <w:ilvl w:val="0"/>
          <w:numId w:val="13"/>
        </w:numPr>
        <w:spacing w:after="120"/>
        <w:rPr>
          <w:rStyle w:val="ui-provider"/>
        </w:rPr>
      </w:pPr>
      <w:r>
        <w:rPr>
          <w:rStyle w:val="ui-provider"/>
        </w:rPr>
        <w:t xml:space="preserve">                                                                            (b)</w:t>
      </w:r>
    </w:p>
    <w:p w14:paraId="72C48364" w14:textId="18B27C92" w:rsidR="0022515A" w:rsidRDefault="003E5CCF" w:rsidP="00F9170D">
      <w:pPr>
        <w:spacing w:after="120"/>
        <w:jc w:val="center"/>
        <w:rPr>
          <w:rStyle w:val="ui-provider"/>
        </w:rPr>
      </w:pPr>
      <w:bookmarkStart w:id="22" w:name="_Ref134782160"/>
      <w:r>
        <w:t xml:space="preserve">Figure </w:t>
      </w:r>
      <w:r>
        <w:fldChar w:fldCharType="begin"/>
      </w:r>
      <w:r>
        <w:instrText xml:space="preserve"> SEQ Figure \* ARABIC </w:instrText>
      </w:r>
      <w:r>
        <w:fldChar w:fldCharType="separate"/>
      </w:r>
      <w:r w:rsidR="00B758B7">
        <w:rPr>
          <w:noProof/>
        </w:rPr>
        <w:t>6</w:t>
      </w:r>
      <w:r>
        <w:fldChar w:fldCharType="end"/>
      </w:r>
      <w:bookmarkEnd w:id="22"/>
      <w:r>
        <w:t>:</w:t>
      </w:r>
      <w:r w:rsidR="0022515A">
        <w:rPr>
          <w:rStyle w:val="ui-provider"/>
        </w:rPr>
        <w:t xml:space="preserve"> </w:t>
      </w:r>
      <w:r w:rsidR="00F9170D">
        <w:rPr>
          <w:rStyle w:val="ui-provider"/>
        </w:rPr>
        <w:t xml:space="preserve">(a) </w:t>
      </w:r>
      <w:r w:rsidR="0022515A">
        <w:rPr>
          <w:rStyle w:val="ui-provider"/>
        </w:rPr>
        <w:t>Effective SINR distribution on DL-only slots and SBFD slots</w:t>
      </w:r>
      <w:r w:rsidR="00F9170D">
        <w:rPr>
          <w:rStyle w:val="ui-provider"/>
        </w:rPr>
        <w:t xml:space="preserve"> (b) DL-BLER performance in SBFD slots</w:t>
      </w:r>
    </w:p>
    <w:p w14:paraId="0FE189CA" w14:textId="59E740DC" w:rsidR="00804B3A" w:rsidRDefault="00597310" w:rsidP="00F9170D">
      <w:pPr>
        <w:spacing w:after="120"/>
        <w:jc w:val="both"/>
        <w:rPr>
          <w:rStyle w:val="ui-provider"/>
        </w:rPr>
      </w:pPr>
      <w:r w:rsidRPr="00374EF6">
        <w:rPr>
          <w:rStyle w:val="ui-provider"/>
        </w:rPr>
        <w:t xml:space="preserve">In </w:t>
      </w:r>
      <w:r w:rsidR="009016D0">
        <w:rPr>
          <w:rStyle w:val="ui-provider"/>
        </w:rPr>
        <w:fldChar w:fldCharType="begin"/>
      </w:r>
      <w:r w:rsidR="009016D0">
        <w:rPr>
          <w:rStyle w:val="ui-provider"/>
        </w:rPr>
        <w:instrText xml:space="preserve"> REF _Ref134782160 \h </w:instrText>
      </w:r>
      <w:r w:rsidR="009016D0">
        <w:rPr>
          <w:rStyle w:val="ui-provider"/>
        </w:rPr>
      </w:r>
      <w:r w:rsidR="009016D0">
        <w:rPr>
          <w:rStyle w:val="ui-provider"/>
        </w:rPr>
        <w:fldChar w:fldCharType="separate"/>
      </w:r>
      <w:r w:rsidR="00B758B7">
        <w:t xml:space="preserve">Figure </w:t>
      </w:r>
      <w:r w:rsidR="00B758B7">
        <w:rPr>
          <w:noProof/>
        </w:rPr>
        <w:t>6</w:t>
      </w:r>
      <w:r w:rsidR="009016D0">
        <w:rPr>
          <w:rStyle w:val="ui-provider"/>
        </w:rPr>
        <w:fldChar w:fldCharType="end"/>
      </w:r>
      <w:r w:rsidR="00F9170D">
        <w:rPr>
          <w:rStyle w:val="ui-provider"/>
        </w:rPr>
        <w:t xml:space="preserve"> (b)</w:t>
      </w:r>
      <w:r w:rsidRPr="00374EF6">
        <w:rPr>
          <w:rStyle w:val="ui-provider"/>
        </w:rPr>
        <w:t>, BLER is compared across SBFD slots with same CSI</w:t>
      </w:r>
      <w:r>
        <w:rPr>
          <w:rStyle w:val="ui-provider"/>
        </w:rPr>
        <w:t xml:space="preserve"> reporting</w:t>
      </w:r>
      <w:r w:rsidRPr="00374EF6">
        <w:rPr>
          <w:rStyle w:val="ui-provider"/>
        </w:rPr>
        <w:t xml:space="preserve"> and separate CSI</w:t>
      </w:r>
      <w:r>
        <w:rPr>
          <w:rStyle w:val="ui-provider"/>
        </w:rPr>
        <w:t xml:space="preserve"> reporting</w:t>
      </w:r>
      <w:r w:rsidRPr="00374EF6">
        <w:rPr>
          <w:rStyle w:val="ui-provider"/>
        </w:rPr>
        <w:t>. This simulation was conducted without outer-loop link adaptation to analyse the impact of separate CSI</w:t>
      </w:r>
      <w:r>
        <w:rPr>
          <w:rStyle w:val="ui-provider"/>
        </w:rPr>
        <w:t xml:space="preserve"> reporting</w:t>
      </w:r>
      <w:r w:rsidRPr="00374EF6">
        <w:rPr>
          <w:rStyle w:val="ui-provider"/>
        </w:rPr>
        <w:t xml:space="preserve"> on the BLER of fresh transmissions. As seen in the figure, separate CSI</w:t>
      </w:r>
      <w:r>
        <w:rPr>
          <w:rStyle w:val="ui-provider"/>
        </w:rPr>
        <w:t xml:space="preserve"> reporting</w:t>
      </w:r>
      <w:r w:rsidRPr="00374EF6">
        <w:rPr>
          <w:rStyle w:val="ui-provider"/>
        </w:rPr>
        <w:t xml:space="preserve"> outperforms same CSI </w:t>
      </w:r>
      <w:r>
        <w:rPr>
          <w:rStyle w:val="ui-provider"/>
        </w:rPr>
        <w:t xml:space="preserve">reporting </w:t>
      </w:r>
      <w:r w:rsidRPr="00374EF6">
        <w:rPr>
          <w:rStyle w:val="ui-provider"/>
        </w:rPr>
        <w:t>in terms of BLER performance.</w:t>
      </w:r>
    </w:p>
    <w:p w14:paraId="5C88B959" w14:textId="03BCAA04" w:rsidR="009C1A22" w:rsidRPr="009C1A22" w:rsidRDefault="009C1A22" w:rsidP="00F9170D">
      <w:pPr>
        <w:spacing w:after="120"/>
        <w:jc w:val="both"/>
        <w:rPr>
          <w:rStyle w:val="ui-provider"/>
          <w:b/>
          <w:i/>
          <w:lang w:eastAsia="ko-KR"/>
        </w:rPr>
      </w:pPr>
      <w:r w:rsidRPr="00EF4B7B">
        <w:rPr>
          <w:b/>
          <w:bCs/>
          <w:i/>
          <w:iCs/>
        </w:rPr>
        <w:t xml:space="preserve">Observation </w:t>
      </w:r>
      <w:r w:rsidRPr="00EF4B7B">
        <w:rPr>
          <w:b/>
          <w:bCs/>
          <w:i/>
          <w:iCs/>
        </w:rPr>
        <w:fldChar w:fldCharType="begin"/>
      </w:r>
      <w:r w:rsidRPr="00EF4B7B">
        <w:rPr>
          <w:b/>
          <w:bCs/>
          <w:i/>
          <w:iCs/>
        </w:rPr>
        <w:instrText xml:space="preserve"> SEQ Observation \* ARABIC </w:instrText>
      </w:r>
      <w:r w:rsidRPr="00EF4B7B">
        <w:rPr>
          <w:b/>
          <w:bCs/>
          <w:i/>
          <w:iCs/>
        </w:rPr>
        <w:fldChar w:fldCharType="separate"/>
      </w:r>
      <w:r w:rsidR="00B758B7">
        <w:rPr>
          <w:b/>
          <w:bCs/>
          <w:i/>
          <w:iCs/>
          <w:noProof/>
        </w:rPr>
        <w:t>11</w:t>
      </w:r>
      <w:r w:rsidRPr="00EF4B7B">
        <w:rPr>
          <w:b/>
          <w:bCs/>
          <w:i/>
          <w:iCs/>
        </w:rPr>
        <w:fldChar w:fldCharType="end"/>
      </w:r>
      <w:r w:rsidRPr="00EF4B7B">
        <w:t xml:space="preserve">: </w:t>
      </w:r>
      <w:bookmarkStart w:id="23" w:name="_Ref134784267"/>
      <w:r w:rsidR="007C2BA1">
        <w:rPr>
          <w:rFonts w:eastAsia="SimSun"/>
          <w:b/>
          <w:bCs/>
          <w:i/>
          <w:iCs/>
        </w:rPr>
        <w:t>The high level of interference o</w:t>
      </w:r>
      <w:r w:rsidRPr="009C1A22">
        <w:rPr>
          <w:rFonts w:eastAsia="SimSun"/>
          <w:b/>
          <w:bCs/>
          <w:i/>
          <w:iCs/>
          <w:lang w:val="en-US"/>
        </w:rPr>
        <w:t xml:space="preserve">n SBFD slots have a noticeable impact on both effective SINR and BLER performance, underscoring the </w:t>
      </w:r>
      <w:r w:rsidR="00142D90">
        <w:rPr>
          <w:rFonts w:eastAsia="SimSun"/>
          <w:b/>
          <w:bCs/>
          <w:i/>
          <w:iCs/>
          <w:lang w:val="en-US"/>
        </w:rPr>
        <w:t>need</w:t>
      </w:r>
      <w:r w:rsidRPr="009C1A22">
        <w:rPr>
          <w:rFonts w:eastAsia="SimSun"/>
          <w:b/>
          <w:bCs/>
          <w:i/>
          <w:iCs/>
          <w:lang w:val="en-US"/>
        </w:rPr>
        <w:t xml:space="preserve"> </w:t>
      </w:r>
      <w:r w:rsidR="00142D90">
        <w:rPr>
          <w:rFonts w:eastAsia="SimSun"/>
          <w:b/>
          <w:bCs/>
          <w:i/>
          <w:iCs/>
          <w:lang w:val="en-US"/>
        </w:rPr>
        <w:t>for</w:t>
      </w:r>
      <w:r w:rsidRPr="009C1A22">
        <w:rPr>
          <w:rFonts w:eastAsia="SimSun"/>
          <w:b/>
          <w:bCs/>
          <w:i/>
          <w:iCs/>
          <w:lang w:val="en-US"/>
        </w:rPr>
        <w:t xml:space="preserve"> separate CSI reporting for SBFD versus non-SBFD slots/symbols.</w:t>
      </w:r>
      <w:bookmarkEnd w:id="23"/>
    </w:p>
    <w:p w14:paraId="5DB1CAB5" w14:textId="3B9FC86A" w:rsidR="00CE2296" w:rsidRDefault="00CE2296" w:rsidP="00CE2296">
      <w:pPr>
        <w:pStyle w:val="Heading2"/>
        <w:rPr>
          <w:rStyle w:val="ui-provider"/>
          <w:lang w:val="en-US"/>
        </w:rPr>
      </w:pPr>
      <w:r>
        <w:rPr>
          <w:rStyle w:val="ui-provider"/>
          <w:lang w:val="en-US"/>
        </w:rPr>
        <w:t xml:space="preserve">FTP3 Traffic </w:t>
      </w:r>
    </w:p>
    <w:p w14:paraId="175DAE1D" w14:textId="5828EF23" w:rsidR="007B7153" w:rsidRDefault="007B7153" w:rsidP="00155DBC">
      <w:pPr>
        <w:jc w:val="both"/>
        <w:rPr>
          <w:rStyle w:val="ui-provider"/>
        </w:rPr>
      </w:pPr>
      <w:r w:rsidRPr="00C46C1C">
        <w:rPr>
          <w:rStyle w:val="ui-provider"/>
        </w:rPr>
        <w:t xml:space="preserve">This section compares the </w:t>
      </w:r>
      <w:r>
        <w:rPr>
          <w:rStyle w:val="ui-provider"/>
        </w:rPr>
        <w:t xml:space="preserve">DL </w:t>
      </w:r>
      <w:r w:rsidRPr="00C46C1C">
        <w:rPr>
          <w:rStyle w:val="ui-provider"/>
        </w:rPr>
        <w:t>user-perceived throughput (UPT) performance for same CSI</w:t>
      </w:r>
      <w:r>
        <w:rPr>
          <w:rStyle w:val="ui-provider"/>
        </w:rPr>
        <w:t xml:space="preserve"> reporting</w:t>
      </w:r>
      <w:r w:rsidRPr="00C46C1C">
        <w:rPr>
          <w:rStyle w:val="ui-provider"/>
        </w:rPr>
        <w:t xml:space="preserve"> and separate CSI </w:t>
      </w:r>
      <w:r>
        <w:rPr>
          <w:rStyle w:val="ui-provider"/>
        </w:rPr>
        <w:t xml:space="preserve">reporting </w:t>
      </w:r>
      <w:r w:rsidRPr="00C46C1C">
        <w:rPr>
          <w:rStyle w:val="ui-provider"/>
        </w:rPr>
        <w:t xml:space="preserve">schemes. </w:t>
      </w:r>
      <w:r>
        <w:rPr>
          <w:rStyle w:val="ui-provider"/>
        </w:rPr>
        <w:fldChar w:fldCharType="begin"/>
      </w:r>
      <w:r>
        <w:rPr>
          <w:rStyle w:val="ui-provider"/>
        </w:rPr>
        <w:instrText xml:space="preserve"> REF _Ref134782327 \h </w:instrText>
      </w:r>
      <w:r>
        <w:rPr>
          <w:rStyle w:val="ui-provider"/>
        </w:rPr>
      </w:r>
      <w:r>
        <w:rPr>
          <w:rStyle w:val="ui-provider"/>
        </w:rPr>
        <w:fldChar w:fldCharType="separate"/>
      </w:r>
      <w:r w:rsidR="00B758B7">
        <w:t xml:space="preserve">Figure </w:t>
      </w:r>
      <w:r w:rsidR="00B758B7">
        <w:rPr>
          <w:noProof/>
        </w:rPr>
        <w:t>7</w:t>
      </w:r>
      <w:r>
        <w:rPr>
          <w:rStyle w:val="ui-provider"/>
        </w:rPr>
        <w:fldChar w:fldCharType="end"/>
      </w:r>
      <w:r>
        <w:rPr>
          <w:rStyle w:val="ui-provider"/>
        </w:rPr>
        <w:t xml:space="preserve"> shows that for </w:t>
      </w:r>
      <w:r w:rsidRPr="00C46C1C">
        <w:rPr>
          <w:rStyle w:val="ui-provider"/>
        </w:rPr>
        <w:t>FTP3 traffic at high loads (around 70%) the separate CSI</w:t>
      </w:r>
      <w:r>
        <w:rPr>
          <w:rStyle w:val="ui-provider"/>
        </w:rPr>
        <w:t xml:space="preserve"> reporting</w:t>
      </w:r>
      <w:r w:rsidRPr="00C46C1C">
        <w:rPr>
          <w:rStyle w:val="ui-provider"/>
        </w:rPr>
        <w:t xml:space="preserve"> scheme performs better in both 5% and 50% average-UPT scenarios</w:t>
      </w:r>
      <w:r>
        <w:rPr>
          <w:rStyle w:val="ui-provider"/>
        </w:rPr>
        <w:t xml:space="preserve">. However, </w:t>
      </w:r>
      <w:r w:rsidRPr="00C46C1C">
        <w:rPr>
          <w:rStyle w:val="ui-provider"/>
        </w:rPr>
        <w:t>same CSI</w:t>
      </w:r>
      <w:r>
        <w:rPr>
          <w:rStyle w:val="ui-provider"/>
        </w:rPr>
        <w:t xml:space="preserve"> reporting</w:t>
      </w:r>
      <w:r w:rsidRPr="00C46C1C">
        <w:rPr>
          <w:rStyle w:val="ui-provider"/>
        </w:rPr>
        <w:t xml:space="preserve"> outperforms separate CSI</w:t>
      </w:r>
      <w:r>
        <w:rPr>
          <w:rStyle w:val="ui-provider"/>
        </w:rPr>
        <w:t xml:space="preserve"> reporting</w:t>
      </w:r>
      <w:r w:rsidRPr="00C46C1C">
        <w:rPr>
          <w:rStyle w:val="ui-provider"/>
        </w:rPr>
        <w:t xml:space="preserve"> in the 95% average-UPT scenario</w:t>
      </w:r>
      <w:r>
        <w:rPr>
          <w:rStyle w:val="ui-provider"/>
        </w:rPr>
        <w:t xml:space="preserve">. </w:t>
      </w:r>
      <w:r w:rsidRPr="007B7153">
        <w:rPr>
          <w:rStyle w:val="ui-provider"/>
        </w:rPr>
        <w:t>Th</w:t>
      </w:r>
      <w:r>
        <w:rPr>
          <w:rStyle w:val="ui-provider"/>
        </w:rPr>
        <w:t>is is because</w:t>
      </w:r>
      <w:r w:rsidRPr="007B7153">
        <w:rPr>
          <w:rStyle w:val="ui-provider"/>
        </w:rPr>
        <w:t xml:space="preserve"> for the UEs achieving 95% average UPT, the SINR difference </w:t>
      </w:r>
      <w:r w:rsidRPr="007B7153">
        <w:rPr>
          <w:rStyle w:val="ui-provider"/>
        </w:rPr>
        <w:lastRenderedPageBreak/>
        <w:t>in DL-only slot and SBFD slot is small</w:t>
      </w:r>
      <w:r>
        <w:rPr>
          <w:rStyle w:val="ui-provider"/>
        </w:rPr>
        <w:t xml:space="preserve">. As a result, </w:t>
      </w:r>
      <w:r w:rsidRPr="007B7153">
        <w:rPr>
          <w:rStyle w:val="ui-provider"/>
        </w:rPr>
        <w:t xml:space="preserve">the conservative MCS adopted in SBFD slot does not benefit BLER reduction, but instead </w:t>
      </w:r>
      <w:r w:rsidRPr="007B7153">
        <w:rPr>
          <w:rStyle w:val="ui-provider"/>
          <w:rFonts w:hint="eastAsia"/>
          <w:lang w:eastAsia="zh-TW"/>
        </w:rPr>
        <w:t>l</w:t>
      </w:r>
      <w:r w:rsidRPr="007B7153">
        <w:rPr>
          <w:rStyle w:val="ui-provider"/>
          <w:lang w:eastAsia="zh-TW"/>
        </w:rPr>
        <w:t>engthens packet latency and causes UPT loss.</w:t>
      </w:r>
      <w:r w:rsidRPr="007B7153">
        <w:rPr>
          <w:rStyle w:val="ui-provider"/>
        </w:rPr>
        <w:t xml:space="preserve"> </w:t>
      </w:r>
      <w:r>
        <w:rPr>
          <w:rStyle w:val="ui-provider"/>
        </w:rPr>
        <w:t xml:space="preserve">Furthermore, the interference power estimated on the DL resources of SBFD slot may not be so accurate because of the somewhat random nature of inter-UE CLI caused by the dynamic scheduling of UEs in the UL direction. </w:t>
      </w:r>
      <w:r w:rsidRPr="00C46C1C">
        <w:rPr>
          <w:rStyle w:val="ui-provider"/>
        </w:rPr>
        <w:t>This issue could be addressed if the scheduler had information on aggressor-victim UE pairs.</w:t>
      </w:r>
    </w:p>
    <w:p w14:paraId="7A606D86" w14:textId="5EC6E194" w:rsidR="00155DBC" w:rsidRDefault="00BA3C46" w:rsidP="00BA3C46">
      <w:pPr>
        <w:jc w:val="center"/>
        <w:rPr>
          <w:rStyle w:val="ui-provider"/>
        </w:rPr>
      </w:pPr>
      <w:r>
        <w:rPr>
          <w:rStyle w:val="ui-provider"/>
          <w:noProof/>
        </w:rPr>
        <w:drawing>
          <wp:inline distT="0" distB="0" distL="0" distR="0" wp14:anchorId="2DD5B116" wp14:editId="7AD15825">
            <wp:extent cx="2719070" cy="1633855"/>
            <wp:effectExtent l="0" t="0" r="508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19070" cy="1633855"/>
                    </a:xfrm>
                    <a:prstGeom prst="rect">
                      <a:avLst/>
                    </a:prstGeom>
                    <a:noFill/>
                  </pic:spPr>
                </pic:pic>
              </a:graphicData>
            </a:graphic>
          </wp:inline>
        </w:drawing>
      </w:r>
      <w:r>
        <w:rPr>
          <w:rStyle w:val="ui-provider"/>
          <w:noProof/>
        </w:rPr>
        <w:drawing>
          <wp:inline distT="0" distB="0" distL="0" distR="0" wp14:anchorId="29B438B4" wp14:editId="2C1C8FD6">
            <wp:extent cx="2731135" cy="16402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31135" cy="1640205"/>
                    </a:xfrm>
                    <a:prstGeom prst="rect">
                      <a:avLst/>
                    </a:prstGeom>
                    <a:noFill/>
                  </pic:spPr>
                </pic:pic>
              </a:graphicData>
            </a:graphic>
          </wp:inline>
        </w:drawing>
      </w:r>
    </w:p>
    <w:p w14:paraId="4B2B581F" w14:textId="0C4D6E41" w:rsidR="00BB54DA" w:rsidRDefault="003E5CCF" w:rsidP="00BA3C46">
      <w:pPr>
        <w:spacing w:after="0"/>
        <w:jc w:val="center"/>
        <w:rPr>
          <w:rStyle w:val="ui-provider"/>
        </w:rPr>
      </w:pPr>
      <w:bookmarkStart w:id="24" w:name="_Ref134782327"/>
      <w:r>
        <w:t xml:space="preserve">Figure </w:t>
      </w:r>
      <w:r>
        <w:fldChar w:fldCharType="begin"/>
      </w:r>
      <w:r>
        <w:instrText xml:space="preserve"> SEQ Figure \* ARABIC </w:instrText>
      </w:r>
      <w:r>
        <w:fldChar w:fldCharType="separate"/>
      </w:r>
      <w:r w:rsidR="00B758B7">
        <w:rPr>
          <w:noProof/>
        </w:rPr>
        <w:t>7</w:t>
      </w:r>
      <w:r>
        <w:fldChar w:fldCharType="end"/>
      </w:r>
      <w:bookmarkEnd w:id="24"/>
      <w:r>
        <w:t>:</w:t>
      </w:r>
      <w:r w:rsidR="00BA3C46">
        <w:rPr>
          <w:rStyle w:val="ui-provider"/>
        </w:rPr>
        <w:t xml:space="preserve"> UPT and Latency</w:t>
      </w:r>
    </w:p>
    <w:p w14:paraId="41CA4B61" w14:textId="51AEA2E4" w:rsidR="00207952" w:rsidRDefault="00207952" w:rsidP="00BA3C46">
      <w:pPr>
        <w:spacing w:after="0"/>
        <w:jc w:val="center"/>
        <w:rPr>
          <w:rStyle w:val="ui-provider"/>
        </w:rPr>
      </w:pPr>
    </w:p>
    <w:p w14:paraId="0C8CDCA4" w14:textId="15A8B9C8" w:rsidR="00460EB9" w:rsidRPr="00460EB9" w:rsidRDefault="00460EB9" w:rsidP="00460EB9">
      <w:pPr>
        <w:spacing w:after="120"/>
        <w:jc w:val="both"/>
        <w:rPr>
          <w:rStyle w:val="ui-provider"/>
          <w:b/>
          <w:i/>
          <w:lang w:eastAsia="ko-KR"/>
        </w:rPr>
      </w:pPr>
      <w:r w:rsidRPr="00EF4B7B">
        <w:rPr>
          <w:b/>
          <w:bCs/>
          <w:i/>
          <w:iCs/>
        </w:rPr>
        <w:t xml:space="preserve">Observation </w:t>
      </w:r>
      <w:r w:rsidRPr="00EF4B7B">
        <w:rPr>
          <w:b/>
          <w:bCs/>
          <w:i/>
          <w:iCs/>
        </w:rPr>
        <w:fldChar w:fldCharType="begin"/>
      </w:r>
      <w:r w:rsidRPr="00EF4B7B">
        <w:rPr>
          <w:b/>
          <w:bCs/>
          <w:i/>
          <w:iCs/>
        </w:rPr>
        <w:instrText xml:space="preserve"> SEQ Observation \* ARABIC </w:instrText>
      </w:r>
      <w:r w:rsidRPr="00EF4B7B">
        <w:rPr>
          <w:b/>
          <w:bCs/>
          <w:i/>
          <w:iCs/>
        </w:rPr>
        <w:fldChar w:fldCharType="separate"/>
      </w:r>
      <w:r w:rsidR="00B758B7">
        <w:rPr>
          <w:b/>
          <w:bCs/>
          <w:i/>
          <w:iCs/>
          <w:noProof/>
        </w:rPr>
        <w:t>12</w:t>
      </w:r>
      <w:r w:rsidRPr="00EF4B7B">
        <w:rPr>
          <w:b/>
          <w:bCs/>
          <w:i/>
          <w:iCs/>
        </w:rPr>
        <w:fldChar w:fldCharType="end"/>
      </w:r>
      <w:r w:rsidRPr="00EF4B7B">
        <w:t xml:space="preserve">: </w:t>
      </w:r>
      <w:bookmarkStart w:id="25" w:name="_Ref134784304"/>
      <w:r w:rsidRPr="00460EB9">
        <w:rPr>
          <w:b/>
          <w:i/>
          <w:lang w:eastAsia="ko-KR"/>
        </w:rPr>
        <w:t>Using separate CSI reporting for SBFD and non-SBFD slots</w:t>
      </w:r>
      <w:r w:rsidR="00C83FDF">
        <w:rPr>
          <w:b/>
          <w:i/>
          <w:lang w:eastAsia="ko-KR"/>
        </w:rPr>
        <w:t>/symbols</w:t>
      </w:r>
      <w:r w:rsidRPr="00460EB9">
        <w:rPr>
          <w:b/>
          <w:i/>
          <w:lang w:eastAsia="ko-KR"/>
        </w:rPr>
        <w:t xml:space="preserve"> leads to a 5-10% improvement in performance compared to using the same CSI reporting.</w:t>
      </w:r>
      <w:bookmarkEnd w:id="25"/>
    </w:p>
    <w:p w14:paraId="39104508" w14:textId="77777777" w:rsidR="002D44AF" w:rsidRDefault="002D44AF" w:rsidP="00BA3C46">
      <w:pPr>
        <w:pStyle w:val="Heading1"/>
        <w:spacing w:after="0"/>
      </w:pPr>
      <w:r w:rsidRPr="00807D4E">
        <w:rPr>
          <w:rFonts w:hint="eastAsia"/>
        </w:rPr>
        <w:t>Conclusion</w:t>
      </w:r>
    </w:p>
    <w:p w14:paraId="0F0BACAB" w14:textId="3124381E" w:rsidR="000460EA" w:rsidRDefault="00BF0158" w:rsidP="00EC03D5">
      <w:pPr>
        <w:spacing w:after="120" w:line="276" w:lineRule="auto"/>
        <w:jc w:val="both"/>
        <w:rPr>
          <w:rFonts w:eastAsia="SimSun"/>
          <w:lang w:val="en-US"/>
        </w:rPr>
      </w:pPr>
      <w:r w:rsidRPr="004F214A">
        <w:rPr>
          <w:rFonts w:eastAsia="SimSun" w:hint="eastAsia"/>
          <w:lang w:val="en-US"/>
        </w:rPr>
        <w:t xml:space="preserve">In this contribution, </w:t>
      </w:r>
      <w:r w:rsidR="00EF5923" w:rsidRPr="000460EA">
        <w:rPr>
          <w:rFonts w:eastAsia="SimSun"/>
          <w:color w:val="000000" w:themeColor="text1"/>
          <w:lang w:val="en-US" w:eastAsia="zh-CN"/>
        </w:rPr>
        <w:t>we discuss</w:t>
      </w:r>
      <w:r w:rsidR="00EF5923">
        <w:rPr>
          <w:rFonts w:eastAsia="SimSun"/>
          <w:color w:val="000000" w:themeColor="text1"/>
          <w:lang w:val="en-US" w:eastAsia="zh-CN"/>
        </w:rPr>
        <w:t>ed</w:t>
      </w:r>
      <w:r w:rsidR="00EF5923" w:rsidRPr="000460EA">
        <w:rPr>
          <w:rFonts w:eastAsia="SimSun"/>
          <w:color w:val="000000" w:themeColor="text1"/>
          <w:lang w:val="en-US" w:eastAsia="zh-CN"/>
        </w:rPr>
        <w:t xml:space="preserve"> </w:t>
      </w:r>
      <w:r w:rsidR="00592323">
        <w:rPr>
          <w:rStyle w:val="ui-provider"/>
        </w:rPr>
        <w:t>the SBFD evaluation results in comparison to the legacy TDD</w:t>
      </w:r>
      <w:r w:rsidR="0051357D">
        <w:rPr>
          <w:rStyle w:val="ui-provider"/>
        </w:rPr>
        <w:t xml:space="preserve">. </w:t>
      </w:r>
      <w:r w:rsidR="00EF5923">
        <w:rPr>
          <w:rFonts w:eastAsia="SimSun"/>
          <w:lang w:eastAsia="zh-CN"/>
        </w:rPr>
        <w:t>W</w:t>
      </w:r>
      <w:r w:rsidR="009A1FE7">
        <w:rPr>
          <w:rFonts w:eastAsia="SimSun" w:hint="eastAsia"/>
          <w:lang w:eastAsia="zh-CN"/>
        </w:rPr>
        <w:t xml:space="preserve">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9A1FE7">
        <w:rPr>
          <w:rFonts w:eastAsia="SimSun"/>
          <w:lang w:val="en-US"/>
        </w:rPr>
        <w:t>:</w:t>
      </w:r>
    </w:p>
    <w:p w14:paraId="4F1ED29E" w14:textId="7CC188D8" w:rsidR="00B91AEA" w:rsidRPr="00B91AEA" w:rsidRDefault="00B91AEA" w:rsidP="008F006D">
      <w:pPr>
        <w:pStyle w:val="ListParagraph"/>
        <w:numPr>
          <w:ilvl w:val="0"/>
          <w:numId w:val="10"/>
        </w:numPr>
        <w:spacing w:after="60"/>
        <w:ind w:left="357" w:hanging="357"/>
        <w:jc w:val="both"/>
        <w:rPr>
          <w:rFonts w:eastAsia="SimSun"/>
          <w:lang w:val="en-US"/>
        </w:rPr>
      </w:pPr>
      <w:r>
        <w:rPr>
          <w:rFonts w:eastAsia="SimSun"/>
          <w:b/>
          <w:bCs/>
          <w:i/>
          <w:iCs/>
          <w:lang w:val="en-US"/>
        </w:rPr>
        <w:fldChar w:fldCharType="begin"/>
      </w:r>
      <w:r>
        <w:rPr>
          <w:b/>
          <w:i/>
          <w:lang w:eastAsia="ko-KR"/>
        </w:rPr>
        <w:instrText xml:space="preserve"> REF _Ref134784009 \h </w:instrText>
      </w:r>
      <w:r>
        <w:rPr>
          <w:rFonts w:eastAsia="SimSun"/>
          <w:b/>
          <w:bCs/>
          <w:i/>
          <w:iCs/>
          <w:lang w:val="en-US"/>
        </w:rPr>
      </w:r>
      <w:r>
        <w:rPr>
          <w:rFonts w:eastAsia="SimSun"/>
          <w:b/>
          <w:bCs/>
          <w:i/>
          <w:iCs/>
          <w:lang w:val="en-US"/>
        </w:rPr>
        <w:fldChar w:fldCharType="separate"/>
      </w:r>
      <w:r w:rsidR="00B758B7" w:rsidRPr="002D370C">
        <w:rPr>
          <w:rFonts w:eastAsia="SimSun"/>
          <w:b/>
          <w:bCs/>
          <w:i/>
          <w:iCs/>
          <w:lang w:val="en-US"/>
        </w:rPr>
        <w:t>The resource gain/loss in UL and DL, as well as the spectral efficiency gain/loss in UL and DL</w:t>
      </w:r>
      <w:r w:rsidR="00B758B7">
        <w:rPr>
          <w:rFonts w:eastAsia="SimSun"/>
          <w:b/>
          <w:bCs/>
          <w:i/>
          <w:iCs/>
          <w:lang w:val="en-US"/>
        </w:rPr>
        <w:t xml:space="preserve"> </w:t>
      </w:r>
      <w:r w:rsidR="00B758B7" w:rsidRPr="002D370C">
        <w:rPr>
          <w:rFonts w:eastAsia="SimSun"/>
          <w:b/>
          <w:bCs/>
          <w:i/>
          <w:iCs/>
          <w:lang w:val="en-US"/>
        </w:rPr>
        <w:t>for SBFD over the legacy TDD, are closely aligned</w:t>
      </w:r>
      <w:r>
        <w:rPr>
          <w:rFonts w:eastAsia="SimSun"/>
          <w:b/>
          <w:bCs/>
          <w:i/>
          <w:iCs/>
          <w:lang w:val="en-US"/>
        </w:rPr>
        <w:fldChar w:fldCharType="end"/>
      </w:r>
    </w:p>
    <w:p w14:paraId="16A36FBF" w14:textId="075FE9D6" w:rsidR="00B34E5C" w:rsidRDefault="00B34E5C" w:rsidP="008F006D">
      <w:pPr>
        <w:pStyle w:val="ListParagraph"/>
        <w:numPr>
          <w:ilvl w:val="0"/>
          <w:numId w:val="10"/>
        </w:numPr>
        <w:spacing w:after="60"/>
        <w:ind w:left="357" w:hanging="357"/>
        <w:jc w:val="both"/>
        <w:rPr>
          <w:b/>
          <w:i/>
          <w:lang w:eastAsia="ko-KR"/>
        </w:rPr>
      </w:pPr>
      <w:r>
        <w:rPr>
          <w:b/>
          <w:i/>
          <w:lang w:eastAsia="ko-KR"/>
        </w:rPr>
        <w:fldChar w:fldCharType="begin"/>
      </w:r>
      <w:r>
        <w:rPr>
          <w:b/>
          <w:i/>
          <w:lang w:eastAsia="ko-KR"/>
        </w:rPr>
        <w:instrText xml:space="preserve"> REF _Ref134784052 \h </w:instrText>
      </w:r>
      <w:r>
        <w:rPr>
          <w:b/>
          <w:i/>
          <w:lang w:eastAsia="ko-KR"/>
        </w:rPr>
      </w:r>
      <w:r>
        <w:rPr>
          <w:b/>
          <w:i/>
          <w:lang w:eastAsia="ko-KR"/>
        </w:rPr>
        <w:fldChar w:fldCharType="separate"/>
      </w:r>
      <w:r w:rsidR="00B758B7" w:rsidRPr="00A32C2A">
        <w:rPr>
          <w:b/>
          <w:i/>
          <w:lang w:eastAsia="ko-KR"/>
        </w:rPr>
        <w:t>Inter-UE CLI has significant impact to the DL performance</w:t>
      </w:r>
      <w:r w:rsidR="00B758B7">
        <w:rPr>
          <w:b/>
          <w:i/>
          <w:lang w:eastAsia="ko-KR"/>
        </w:rPr>
        <w:t xml:space="preserve"> in clustered UE scenario</w:t>
      </w:r>
      <w:r>
        <w:rPr>
          <w:b/>
          <w:i/>
          <w:lang w:eastAsia="ko-KR"/>
        </w:rPr>
        <w:fldChar w:fldCharType="end"/>
      </w:r>
      <w:r>
        <w:rPr>
          <w:b/>
          <w:i/>
          <w:lang w:eastAsia="ko-KR"/>
        </w:rPr>
        <w:t xml:space="preserve">. </w:t>
      </w:r>
    </w:p>
    <w:p w14:paraId="073B3EBD" w14:textId="4818E7C3" w:rsidR="006074EF" w:rsidRDefault="006074EF" w:rsidP="008F006D">
      <w:pPr>
        <w:pStyle w:val="ListParagraph"/>
        <w:numPr>
          <w:ilvl w:val="0"/>
          <w:numId w:val="10"/>
        </w:numPr>
        <w:spacing w:after="60"/>
        <w:ind w:left="357" w:hanging="357"/>
        <w:jc w:val="both"/>
        <w:rPr>
          <w:b/>
          <w:i/>
          <w:lang w:eastAsia="ko-KR"/>
        </w:rPr>
      </w:pPr>
      <w:r>
        <w:rPr>
          <w:b/>
          <w:i/>
          <w:lang w:eastAsia="ko-KR"/>
        </w:rPr>
        <w:fldChar w:fldCharType="begin"/>
      </w:r>
      <w:r>
        <w:rPr>
          <w:b/>
          <w:i/>
          <w:lang w:eastAsia="ko-KR"/>
        </w:rPr>
        <w:instrText xml:space="preserve"> REF _Ref134784080 \h </w:instrText>
      </w:r>
      <w:r>
        <w:rPr>
          <w:b/>
          <w:i/>
          <w:lang w:eastAsia="ko-KR"/>
        </w:rPr>
      </w:r>
      <w:r>
        <w:rPr>
          <w:b/>
          <w:i/>
          <w:lang w:eastAsia="ko-KR"/>
        </w:rPr>
        <w:fldChar w:fldCharType="separate"/>
      </w:r>
      <w:r w:rsidR="00B758B7">
        <w:rPr>
          <w:b/>
          <w:i/>
          <w:lang w:eastAsia="ko-KR"/>
        </w:rPr>
        <w:t>Intra</w:t>
      </w:r>
      <w:r w:rsidR="00B758B7" w:rsidRPr="00A32C2A">
        <w:rPr>
          <w:b/>
          <w:i/>
          <w:lang w:eastAsia="ko-KR"/>
        </w:rPr>
        <w:t>-</w:t>
      </w:r>
      <w:r w:rsidR="00B758B7">
        <w:rPr>
          <w:b/>
          <w:i/>
          <w:lang w:eastAsia="ko-KR"/>
        </w:rPr>
        <w:t>site gNB</w:t>
      </w:r>
      <w:r w:rsidR="00B758B7" w:rsidRPr="00A32C2A">
        <w:rPr>
          <w:b/>
          <w:i/>
          <w:lang w:eastAsia="ko-KR"/>
        </w:rPr>
        <w:t xml:space="preserve"> CLI has significant impact to the </w:t>
      </w:r>
      <w:r w:rsidR="00B758B7">
        <w:rPr>
          <w:b/>
          <w:i/>
          <w:lang w:eastAsia="ko-KR"/>
        </w:rPr>
        <w:t>U</w:t>
      </w:r>
      <w:r w:rsidR="00B758B7" w:rsidRPr="00A32C2A">
        <w:rPr>
          <w:b/>
          <w:i/>
          <w:lang w:eastAsia="ko-KR"/>
        </w:rPr>
        <w:t>L performance</w:t>
      </w:r>
      <w:r>
        <w:rPr>
          <w:b/>
          <w:i/>
          <w:lang w:eastAsia="ko-KR"/>
        </w:rPr>
        <w:fldChar w:fldCharType="end"/>
      </w:r>
      <w:r>
        <w:rPr>
          <w:b/>
          <w:i/>
          <w:lang w:eastAsia="ko-KR"/>
        </w:rPr>
        <w:t>.</w:t>
      </w:r>
    </w:p>
    <w:p w14:paraId="3AEB466B" w14:textId="3EA63A81" w:rsidR="00C357F3" w:rsidRPr="00C357F3" w:rsidRDefault="00C357F3" w:rsidP="008F006D">
      <w:pPr>
        <w:pStyle w:val="ListParagraph"/>
        <w:numPr>
          <w:ilvl w:val="0"/>
          <w:numId w:val="10"/>
        </w:numPr>
        <w:spacing w:after="60"/>
        <w:ind w:left="357" w:hanging="357"/>
        <w:jc w:val="both"/>
        <w:rPr>
          <w:rFonts w:eastAsia="SimSun"/>
          <w:lang w:val="en-US"/>
        </w:rPr>
      </w:pPr>
      <w:r>
        <w:rPr>
          <w:b/>
          <w:i/>
          <w:lang w:eastAsia="ko-KR"/>
        </w:rPr>
        <w:fldChar w:fldCharType="begin"/>
      </w:r>
      <w:r>
        <w:rPr>
          <w:b/>
          <w:i/>
          <w:lang w:eastAsia="ko-KR"/>
        </w:rPr>
        <w:instrText xml:space="preserve"> REF _Ref134784104 \h </w:instrText>
      </w:r>
      <w:r>
        <w:rPr>
          <w:b/>
          <w:i/>
          <w:lang w:eastAsia="ko-KR"/>
        </w:rPr>
      </w:r>
      <w:r>
        <w:rPr>
          <w:b/>
          <w:i/>
          <w:lang w:eastAsia="ko-KR"/>
        </w:rPr>
        <w:fldChar w:fldCharType="separate"/>
      </w:r>
      <w:r w:rsidR="00B758B7" w:rsidRPr="00ED4793">
        <w:rPr>
          <w:b/>
          <w:i/>
          <w:lang w:eastAsia="ko-KR"/>
        </w:rPr>
        <w:t>Intra-site isolation has a major influence on UL performance, and it is observed that 75 dB of isolation is insufficient</w:t>
      </w:r>
      <w:r w:rsidR="00B758B7">
        <w:rPr>
          <w:b/>
          <w:i/>
          <w:lang w:eastAsia="ko-KR"/>
        </w:rPr>
        <w:t>,</w:t>
      </w:r>
      <w:r w:rsidR="00B758B7" w:rsidRPr="00ED4793">
        <w:rPr>
          <w:b/>
          <w:i/>
          <w:lang w:eastAsia="ko-KR"/>
        </w:rPr>
        <w:t xml:space="preserve"> and 100 dB is preferred</w:t>
      </w:r>
      <w:r w:rsidR="00B758B7">
        <w:rPr>
          <w:b/>
          <w:i/>
          <w:lang w:eastAsia="ko-KR"/>
        </w:rPr>
        <w:t xml:space="preserve"> in addition to the frequency isolation</w:t>
      </w:r>
      <w:r>
        <w:rPr>
          <w:b/>
          <w:i/>
          <w:lang w:eastAsia="ko-KR"/>
        </w:rPr>
        <w:fldChar w:fldCharType="end"/>
      </w:r>
      <w:r>
        <w:rPr>
          <w:b/>
          <w:i/>
          <w:lang w:eastAsia="ko-KR"/>
        </w:rPr>
        <w:t>.</w:t>
      </w:r>
    </w:p>
    <w:p w14:paraId="1A7C5CF8" w14:textId="339A5E6B" w:rsidR="00C357F3" w:rsidRDefault="00C357F3" w:rsidP="008F006D">
      <w:pPr>
        <w:pStyle w:val="ListParagraph"/>
        <w:numPr>
          <w:ilvl w:val="0"/>
          <w:numId w:val="10"/>
        </w:numPr>
        <w:spacing w:after="60"/>
        <w:ind w:left="357" w:hanging="357"/>
        <w:jc w:val="both"/>
        <w:rPr>
          <w:b/>
          <w:i/>
          <w:lang w:eastAsia="ko-KR"/>
        </w:rPr>
      </w:pPr>
      <w:r>
        <w:rPr>
          <w:b/>
          <w:i/>
          <w:lang w:eastAsia="ko-KR"/>
        </w:rPr>
        <w:fldChar w:fldCharType="begin"/>
      </w:r>
      <w:r>
        <w:rPr>
          <w:b/>
          <w:i/>
          <w:lang w:eastAsia="ko-KR"/>
        </w:rPr>
        <w:instrText xml:space="preserve"> REF _Ref134784121 \h </w:instrText>
      </w:r>
      <w:r>
        <w:rPr>
          <w:b/>
          <w:i/>
          <w:lang w:eastAsia="ko-KR"/>
        </w:rPr>
      </w:r>
      <w:r>
        <w:rPr>
          <w:b/>
          <w:i/>
          <w:lang w:eastAsia="ko-KR"/>
        </w:rPr>
        <w:fldChar w:fldCharType="separate"/>
      </w:r>
      <w:r w:rsidR="00B758B7">
        <w:rPr>
          <w:b/>
          <w:i/>
          <w:lang w:eastAsia="ko-KR"/>
        </w:rPr>
        <w:t>RSIC of 102 dB in addition to the frequency isolation is required to mitigate the gNB self-interference</w:t>
      </w:r>
      <w:r>
        <w:rPr>
          <w:b/>
          <w:i/>
          <w:lang w:eastAsia="ko-KR"/>
        </w:rPr>
        <w:fldChar w:fldCharType="end"/>
      </w:r>
      <w:r>
        <w:rPr>
          <w:b/>
          <w:i/>
          <w:lang w:eastAsia="ko-KR"/>
        </w:rPr>
        <w:t>.</w:t>
      </w:r>
    </w:p>
    <w:p w14:paraId="7F49365C" w14:textId="32D335E7" w:rsidR="00C357F3" w:rsidRDefault="00C357F3" w:rsidP="008F006D">
      <w:pPr>
        <w:pStyle w:val="ListParagraph"/>
        <w:numPr>
          <w:ilvl w:val="0"/>
          <w:numId w:val="10"/>
        </w:numPr>
        <w:spacing w:after="60"/>
        <w:ind w:left="357" w:hanging="357"/>
        <w:jc w:val="both"/>
        <w:rPr>
          <w:b/>
          <w:i/>
          <w:lang w:eastAsia="ko-KR"/>
        </w:rPr>
      </w:pPr>
      <w:r>
        <w:rPr>
          <w:b/>
          <w:i/>
          <w:lang w:eastAsia="ko-KR"/>
        </w:rPr>
        <w:fldChar w:fldCharType="begin"/>
      </w:r>
      <w:r>
        <w:rPr>
          <w:b/>
          <w:i/>
          <w:lang w:eastAsia="ko-KR"/>
        </w:rPr>
        <w:instrText xml:space="preserve"> REF _Ref134784146 \h </w:instrText>
      </w:r>
      <w:r>
        <w:rPr>
          <w:b/>
          <w:i/>
          <w:lang w:eastAsia="ko-KR"/>
        </w:rPr>
      </w:r>
      <w:r>
        <w:rPr>
          <w:b/>
          <w:i/>
          <w:lang w:eastAsia="ko-KR"/>
        </w:rPr>
        <w:fldChar w:fldCharType="separate"/>
      </w:r>
      <w:r w:rsidR="00B758B7" w:rsidRPr="00A524D4">
        <w:rPr>
          <w:b/>
          <w:i/>
          <w:lang w:eastAsia="ko-KR"/>
        </w:rPr>
        <w:t>DL UPT of SBFD suffers</w:t>
      </w:r>
      <w:r w:rsidR="00B758B7">
        <w:rPr>
          <w:b/>
          <w:i/>
          <w:lang w:eastAsia="ko-KR"/>
        </w:rPr>
        <w:t xml:space="preserve"> (~43% loss in mean UPT of medium RU)</w:t>
      </w:r>
      <w:r w:rsidR="00B758B7" w:rsidRPr="00A524D4">
        <w:rPr>
          <w:b/>
          <w:i/>
          <w:lang w:eastAsia="ko-KR"/>
        </w:rPr>
        <w:t xml:space="preserve"> when compared to TDD due to DL resource loss and inter-UE CLI</w:t>
      </w:r>
      <w:r>
        <w:rPr>
          <w:b/>
          <w:i/>
          <w:lang w:eastAsia="ko-KR"/>
        </w:rPr>
        <w:fldChar w:fldCharType="end"/>
      </w:r>
      <w:r>
        <w:rPr>
          <w:b/>
          <w:i/>
          <w:lang w:eastAsia="ko-KR"/>
        </w:rPr>
        <w:t>.</w:t>
      </w:r>
    </w:p>
    <w:p w14:paraId="02917B1F" w14:textId="49A506B0" w:rsidR="00C357F3" w:rsidRPr="00C357F3" w:rsidRDefault="00C357F3" w:rsidP="008F006D">
      <w:pPr>
        <w:pStyle w:val="ListParagraph"/>
        <w:numPr>
          <w:ilvl w:val="0"/>
          <w:numId w:val="10"/>
        </w:numPr>
        <w:spacing w:after="60"/>
        <w:ind w:left="357" w:hanging="357"/>
        <w:jc w:val="both"/>
        <w:rPr>
          <w:rFonts w:eastAsia="SimSun"/>
          <w:lang w:val="en-US"/>
        </w:rPr>
      </w:pPr>
      <w:r>
        <w:rPr>
          <w:b/>
          <w:i/>
          <w:lang w:eastAsia="ko-KR"/>
        </w:rPr>
        <w:fldChar w:fldCharType="begin"/>
      </w:r>
      <w:r>
        <w:rPr>
          <w:b/>
          <w:i/>
          <w:lang w:eastAsia="ko-KR"/>
        </w:rPr>
        <w:instrText xml:space="preserve"> REF _Ref134784196 \h </w:instrText>
      </w:r>
      <w:r>
        <w:rPr>
          <w:b/>
          <w:i/>
          <w:lang w:eastAsia="ko-KR"/>
        </w:rPr>
      </w:r>
      <w:r>
        <w:rPr>
          <w:b/>
          <w:i/>
          <w:lang w:eastAsia="ko-KR"/>
        </w:rPr>
        <w:fldChar w:fldCharType="separate"/>
      </w:r>
      <w:r w:rsidR="00B758B7" w:rsidRPr="00A524D4">
        <w:rPr>
          <w:b/>
          <w:i/>
          <w:lang w:eastAsia="ko-KR"/>
        </w:rPr>
        <w:t xml:space="preserve">UL UPT of SBFD is gained </w:t>
      </w:r>
      <w:r w:rsidR="00B758B7">
        <w:rPr>
          <w:b/>
          <w:i/>
          <w:lang w:eastAsia="ko-KR"/>
        </w:rPr>
        <w:t xml:space="preserve">(~69% gain in mean UPT of medium RU) </w:t>
      </w:r>
      <w:r w:rsidR="00B758B7" w:rsidRPr="00A524D4">
        <w:rPr>
          <w:b/>
          <w:i/>
          <w:lang w:eastAsia="ko-KR"/>
        </w:rPr>
        <w:t xml:space="preserve">when compared to TDD due to UL resource gain </w:t>
      </w:r>
      <w:r w:rsidR="00B758B7">
        <w:rPr>
          <w:b/>
          <w:i/>
          <w:lang w:eastAsia="ko-KR"/>
        </w:rPr>
        <w:t xml:space="preserve">and </w:t>
      </w:r>
      <w:r w:rsidR="00B758B7" w:rsidRPr="00A524D4">
        <w:rPr>
          <w:b/>
          <w:i/>
          <w:lang w:eastAsia="ko-KR"/>
        </w:rPr>
        <w:t>with the best RSIC and RCIC capabilities at gNB</w:t>
      </w:r>
      <w:r>
        <w:rPr>
          <w:b/>
          <w:i/>
          <w:lang w:eastAsia="ko-KR"/>
        </w:rPr>
        <w:fldChar w:fldCharType="end"/>
      </w:r>
      <w:r>
        <w:rPr>
          <w:b/>
          <w:i/>
          <w:lang w:eastAsia="ko-KR"/>
        </w:rPr>
        <w:t>.</w:t>
      </w:r>
    </w:p>
    <w:p w14:paraId="6891FEB8" w14:textId="6D56A582" w:rsidR="00711204" w:rsidRDefault="00711204" w:rsidP="008F006D">
      <w:pPr>
        <w:pStyle w:val="ListParagraph"/>
        <w:numPr>
          <w:ilvl w:val="0"/>
          <w:numId w:val="10"/>
        </w:numPr>
        <w:spacing w:after="60"/>
        <w:ind w:left="357" w:hanging="357"/>
        <w:jc w:val="both"/>
        <w:rPr>
          <w:b/>
          <w:i/>
          <w:lang w:eastAsia="ko-KR"/>
        </w:rPr>
      </w:pPr>
      <w:r>
        <w:rPr>
          <w:b/>
          <w:i/>
          <w:lang w:eastAsia="ko-KR"/>
        </w:rPr>
        <w:fldChar w:fldCharType="begin"/>
      </w:r>
      <w:r>
        <w:rPr>
          <w:b/>
          <w:i/>
          <w:lang w:eastAsia="ko-KR"/>
        </w:rPr>
        <w:instrText xml:space="preserve"> REF _Ref134784213 \h </w:instrText>
      </w:r>
      <w:r>
        <w:rPr>
          <w:b/>
          <w:i/>
          <w:lang w:eastAsia="ko-KR"/>
        </w:rPr>
      </w:r>
      <w:r>
        <w:rPr>
          <w:b/>
          <w:i/>
          <w:lang w:eastAsia="ko-KR"/>
        </w:rPr>
        <w:fldChar w:fldCharType="separate"/>
      </w:r>
      <w:r w:rsidR="00B758B7" w:rsidRPr="00565786">
        <w:rPr>
          <w:b/>
          <w:i/>
          <w:lang w:eastAsia="ko-KR"/>
        </w:rPr>
        <w:t>Good scope of studying the solutions for the inter-site gNB CLI management with minimal or no impact to the UE.</w:t>
      </w:r>
      <w:r>
        <w:rPr>
          <w:b/>
          <w:i/>
          <w:lang w:eastAsia="ko-KR"/>
        </w:rPr>
        <w:fldChar w:fldCharType="end"/>
      </w:r>
    </w:p>
    <w:p w14:paraId="08F8772A" w14:textId="4DD13EBA" w:rsidR="00711204" w:rsidRPr="00711204" w:rsidRDefault="00711204" w:rsidP="008F006D">
      <w:pPr>
        <w:pStyle w:val="ListParagraph"/>
        <w:numPr>
          <w:ilvl w:val="0"/>
          <w:numId w:val="10"/>
        </w:numPr>
        <w:spacing w:after="60"/>
        <w:ind w:left="357" w:hanging="357"/>
        <w:jc w:val="both"/>
      </w:pPr>
      <w:r>
        <w:rPr>
          <w:b/>
          <w:i/>
          <w:lang w:eastAsia="ko-KR"/>
        </w:rPr>
        <w:fldChar w:fldCharType="begin"/>
      </w:r>
      <w:r>
        <w:rPr>
          <w:b/>
          <w:i/>
          <w:lang w:eastAsia="ko-KR"/>
        </w:rPr>
        <w:instrText xml:space="preserve"> REF _Ref134784233 \h </w:instrText>
      </w:r>
      <w:r>
        <w:rPr>
          <w:b/>
          <w:i/>
          <w:lang w:eastAsia="ko-KR"/>
        </w:rPr>
      </w:r>
      <w:r>
        <w:rPr>
          <w:b/>
          <w:i/>
          <w:lang w:eastAsia="ko-KR"/>
        </w:rPr>
        <w:fldChar w:fldCharType="separate"/>
      </w:r>
      <w:r w:rsidR="00B758B7" w:rsidRPr="00824709">
        <w:rPr>
          <w:b/>
          <w:i/>
          <w:lang w:eastAsia="ko-KR"/>
        </w:rPr>
        <w:t>DL latency of SBFD suffers</w:t>
      </w:r>
      <w:r w:rsidR="00B758B7">
        <w:rPr>
          <w:b/>
          <w:i/>
          <w:lang w:eastAsia="ko-KR"/>
        </w:rPr>
        <w:t xml:space="preserve"> (~124% loss in mean packet latency of medium RU)</w:t>
      </w:r>
      <w:r w:rsidR="00B758B7" w:rsidRPr="00824709">
        <w:rPr>
          <w:b/>
          <w:i/>
          <w:lang w:eastAsia="ko-KR"/>
        </w:rPr>
        <w:t xml:space="preserve"> when compared to TDD due to DL resource loss and inter-UE CLI</w:t>
      </w:r>
      <w:r>
        <w:rPr>
          <w:b/>
          <w:i/>
          <w:lang w:eastAsia="ko-KR"/>
        </w:rPr>
        <w:fldChar w:fldCharType="end"/>
      </w:r>
      <w:r>
        <w:rPr>
          <w:b/>
          <w:i/>
          <w:lang w:eastAsia="ko-KR"/>
        </w:rPr>
        <w:t>.</w:t>
      </w:r>
    </w:p>
    <w:p w14:paraId="2AAB0765" w14:textId="391B1539" w:rsidR="00711204" w:rsidRDefault="00711204" w:rsidP="00CA1609">
      <w:pPr>
        <w:pStyle w:val="ListParagraph"/>
        <w:numPr>
          <w:ilvl w:val="0"/>
          <w:numId w:val="10"/>
        </w:numPr>
        <w:spacing w:after="120"/>
        <w:jc w:val="both"/>
        <w:rPr>
          <w:b/>
          <w:i/>
          <w:lang w:eastAsia="ko-KR"/>
        </w:rPr>
      </w:pPr>
      <w:r>
        <w:rPr>
          <w:b/>
          <w:i/>
          <w:lang w:eastAsia="ko-KR"/>
        </w:rPr>
        <w:fldChar w:fldCharType="begin"/>
      </w:r>
      <w:r>
        <w:rPr>
          <w:rFonts w:eastAsia="SimSun"/>
          <w:b/>
          <w:bCs/>
          <w:i/>
          <w:iCs/>
        </w:rPr>
        <w:instrText xml:space="preserve"> REF _Ref134784248 \h </w:instrText>
      </w:r>
      <w:r>
        <w:rPr>
          <w:b/>
          <w:i/>
          <w:lang w:eastAsia="ko-KR"/>
        </w:rPr>
      </w:r>
      <w:r>
        <w:rPr>
          <w:b/>
          <w:i/>
          <w:lang w:eastAsia="ko-KR"/>
        </w:rPr>
        <w:fldChar w:fldCharType="separate"/>
      </w:r>
      <w:r w:rsidR="00B758B7" w:rsidRPr="008E48CD">
        <w:rPr>
          <w:b/>
          <w:i/>
          <w:lang w:eastAsia="ko-KR"/>
        </w:rPr>
        <w:t>UL latency of SBFD is gained (~43% loss in mean packet latency of medium RU) when compared to TDD due to UL resource gain and with the best RSIC and RCIC capabilities at gNB.</w:t>
      </w:r>
      <w:r>
        <w:rPr>
          <w:b/>
          <w:i/>
          <w:lang w:eastAsia="ko-KR"/>
        </w:rPr>
        <w:fldChar w:fldCharType="end"/>
      </w:r>
    </w:p>
    <w:p w14:paraId="3C71E423" w14:textId="10624E03" w:rsidR="00711204" w:rsidRPr="00711204" w:rsidRDefault="00711204" w:rsidP="00CA1609">
      <w:pPr>
        <w:pStyle w:val="ListParagraph"/>
        <w:numPr>
          <w:ilvl w:val="0"/>
          <w:numId w:val="10"/>
        </w:numPr>
        <w:spacing w:after="120"/>
        <w:jc w:val="both"/>
        <w:rPr>
          <w:b/>
          <w:i/>
          <w:lang w:eastAsia="ko-KR"/>
        </w:rPr>
      </w:pPr>
      <w:r>
        <w:rPr>
          <w:rFonts w:eastAsia="SimSun"/>
          <w:b/>
          <w:bCs/>
          <w:i/>
          <w:iCs/>
        </w:rPr>
        <w:fldChar w:fldCharType="begin"/>
      </w:r>
      <w:r>
        <w:rPr>
          <w:b/>
          <w:i/>
          <w:lang w:eastAsia="ko-KR"/>
        </w:rPr>
        <w:instrText xml:space="preserve"> REF _Ref134784267 \h </w:instrText>
      </w:r>
      <w:r>
        <w:rPr>
          <w:rFonts w:eastAsia="SimSun"/>
          <w:b/>
          <w:bCs/>
          <w:i/>
          <w:iCs/>
        </w:rPr>
      </w:r>
      <w:r>
        <w:rPr>
          <w:rFonts w:eastAsia="SimSun"/>
          <w:b/>
          <w:bCs/>
          <w:i/>
          <w:iCs/>
        </w:rPr>
        <w:fldChar w:fldCharType="separate"/>
      </w:r>
      <w:r w:rsidR="00B758B7">
        <w:rPr>
          <w:rFonts w:eastAsia="SimSun"/>
          <w:b/>
          <w:bCs/>
          <w:i/>
          <w:iCs/>
        </w:rPr>
        <w:t>The high level of interference o</w:t>
      </w:r>
      <w:r w:rsidR="00B758B7" w:rsidRPr="009C1A22">
        <w:rPr>
          <w:rFonts w:eastAsia="SimSun"/>
          <w:b/>
          <w:bCs/>
          <w:i/>
          <w:iCs/>
          <w:lang w:val="en-US"/>
        </w:rPr>
        <w:t xml:space="preserve">n SBFD slots have a noticeable impact on both effective SINR and BLER performance, underscoring the </w:t>
      </w:r>
      <w:r w:rsidR="00B758B7">
        <w:rPr>
          <w:rFonts w:eastAsia="SimSun"/>
          <w:b/>
          <w:bCs/>
          <w:i/>
          <w:iCs/>
          <w:lang w:val="en-US"/>
        </w:rPr>
        <w:t>need</w:t>
      </w:r>
      <w:r w:rsidR="00B758B7" w:rsidRPr="009C1A22">
        <w:rPr>
          <w:rFonts w:eastAsia="SimSun"/>
          <w:b/>
          <w:bCs/>
          <w:i/>
          <w:iCs/>
          <w:lang w:val="en-US"/>
        </w:rPr>
        <w:t xml:space="preserve"> </w:t>
      </w:r>
      <w:r w:rsidR="00B758B7">
        <w:rPr>
          <w:rFonts w:eastAsia="SimSun"/>
          <w:b/>
          <w:bCs/>
          <w:i/>
          <w:iCs/>
          <w:lang w:val="en-US"/>
        </w:rPr>
        <w:t>for</w:t>
      </w:r>
      <w:r w:rsidR="00B758B7" w:rsidRPr="009C1A22">
        <w:rPr>
          <w:rFonts w:eastAsia="SimSun"/>
          <w:b/>
          <w:bCs/>
          <w:i/>
          <w:iCs/>
          <w:lang w:val="en-US"/>
        </w:rPr>
        <w:t xml:space="preserve"> separate CSI reporting for SBFD versus non-SBFD slots/symbols.</w:t>
      </w:r>
      <w:r>
        <w:rPr>
          <w:rFonts w:eastAsia="SimSun"/>
          <w:b/>
          <w:bCs/>
          <w:i/>
          <w:iCs/>
        </w:rPr>
        <w:fldChar w:fldCharType="end"/>
      </w:r>
    </w:p>
    <w:p w14:paraId="2DB871A1" w14:textId="72A7C36D" w:rsidR="00711204" w:rsidRPr="00CA1609" w:rsidRDefault="00711204" w:rsidP="00CA1609">
      <w:pPr>
        <w:pStyle w:val="ListParagraph"/>
        <w:numPr>
          <w:ilvl w:val="0"/>
          <w:numId w:val="10"/>
        </w:numPr>
        <w:spacing w:after="120"/>
        <w:jc w:val="both"/>
        <w:rPr>
          <w:rStyle w:val="ui-provider"/>
          <w:b/>
          <w:i/>
          <w:lang w:eastAsia="ko-KR"/>
        </w:rPr>
      </w:pPr>
      <w:r>
        <w:rPr>
          <w:b/>
          <w:i/>
          <w:lang w:eastAsia="ko-KR"/>
        </w:rPr>
        <w:fldChar w:fldCharType="begin"/>
      </w:r>
      <w:r>
        <w:rPr>
          <w:rStyle w:val="ui-provider"/>
          <w:b/>
          <w:i/>
          <w:lang w:eastAsia="ko-KR"/>
        </w:rPr>
        <w:instrText xml:space="preserve"> REF _Ref134784304 \h </w:instrText>
      </w:r>
      <w:r>
        <w:rPr>
          <w:b/>
          <w:i/>
          <w:lang w:eastAsia="ko-KR"/>
        </w:rPr>
      </w:r>
      <w:r>
        <w:rPr>
          <w:b/>
          <w:i/>
          <w:lang w:eastAsia="ko-KR"/>
        </w:rPr>
        <w:fldChar w:fldCharType="separate"/>
      </w:r>
      <w:r w:rsidR="00B758B7" w:rsidRPr="00460EB9">
        <w:rPr>
          <w:b/>
          <w:i/>
          <w:lang w:eastAsia="ko-KR"/>
        </w:rPr>
        <w:t>Using separate CSI reporting for SBFD and non-SBFD slots</w:t>
      </w:r>
      <w:r w:rsidR="00B758B7">
        <w:rPr>
          <w:b/>
          <w:i/>
          <w:lang w:eastAsia="ko-KR"/>
        </w:rPr>
        <w:t>/symbols</w:t>
      </w:r>
      <w:r w:rsidR="00B758B7" w:rsidRPr="00460EB9">
        <w:rPr>
          <w:b/>
          <w:i/>
          <w:lang w:eastAsia="ko-KR"/>
        </w:rPr>
        <w:t xml:space="preserve"> leads to a 5-10% improvement in performance compared to using the same CSI reporting.</w:t>
      </w:r>
      <w:r>
        <w:rPr>
          <w:b/>
          <w:i/>
          <w:lang w:eastAsia="ko-KR"/>
        </w:rPr>
        <w:fldChar w:fldCharType="end"/>
      </w:r>
    </w:p>
    <w:p w14:paraId="4E50094E" w14:textId="77777777" w:rsidR="00CA1609" w:rsidRPr="00D80818" w:rsidRDefault="00CA1609" w:rsidP="00CA1609">
      <w:pPr>
        <w:spacing w:after="60"/>
        <w:jc w:val="both"/>
      </w:pPr>
    </w:p>
    <w:p w14:paraId="1752DA37" w14:textId="77777777" w:rsidR="002D44AF" w:rsidRPr="00B300C3" w:rsidRDefault="002D44AF" w:rsidP="00D271F7">
      <w:pPr>
        <w:pStyle w:val="Heading1"/>
      </w:pPr>
      <w:r>
        <w:rPr>
          <w:rFonts w:hint="eastAsia"/>
        </w:rPr>
        <w:t>References</w:t>
      </w:r>
    </w:p>
    <w:p w14:paraId="490FA2CB" w14:textId="735FB9AE" w:rsidR="004C65C9" w:rsidRDefault="004C65C9" w:rsidP="000E6A95">
      <w:pPr>
        <w:pStyle w:val="ListParagraph"/>
        <w:numPr>
          <w:ilvl w:val="0"/>
          <w:numId w:val="1"/>
        </w:numPr>
        <w:spacing w:after="0"/>
        <w:rPr>
          <w:lang w:val="en-US"/>
        </w:rPr>
      </w:pPr>
      <w:bookmarkStart w:id="26" w:name="_Ref47545028"/>
      <w:bookmarkStart w:id="27" w:name="_Ref525898979"/>
      <w:bookmarkStart w:id="28" w:name="_Ref47515866"/>
      <w:bookmarkStart w:id="29" w:name="_Ref521335405"/>
      <w:r w:rsidRPr="004C65C9">
        <w:rPr>
          <w:lang w:val="en-US"/>
        </w:rPr>
        <w:t>RP</w:t>
      </w:r>
      <w:r w:rsidR="00DD5E49" w:rsidRPr="00DD5E49">
        <w:rPr>
          <w:lang w:val="en-US"/>
        </w:rPr>
        <w:t>-213591</w:t>
      </w:r>
      <w:r w:rsidRPr="004C65C9">
        <w:rPr>
          <w:lang w:val="en-US"/>
        </w:rPr>
        <w:t>, “</w:t>
      </w:r>
      <w:r w:rsidR="00DD5E49" w:rsidRPr="00DD5E49">
        <w:rPr>
          <w:lang w:val="en-US"/>
        </w:rPr>
        <w:t>New SI: Study on evolution of NR duplex operation</w:t>
      </w:r>
      <w:r w:rsidRPr="004C65C9">
        <w:rPr>
          <w:lang w:val="en-US"/>
        </w:rPr>
        <w:t xml:space="preserve">”, </w:t>
      </w:r>
      <w:r w:rsidR="00DD5E49">
        <w:rPr>
          <w:lang w:val="en-US"/>
        </w:rPr>
        <w:t>CMCC</w:t>
      </w:r>
      <w:r w:rsidRPr="004C65C9">
        <w:rPr>
          <w:lang w:val="en-US"/>
        </w:rPr>
        <w:t>, RAN#</w:t>
      </w:r>
      <w:r w:rsidR="00DD5E49">
        <w:rPr>
          <w:lang w:val="en-US"/>
        </w:rPr>
        <w:t>94</w:t>
      </w:r>
      <w:r w:rsidRPr="004C65C9">
        <w:rPr>
          <w:lang w:val="en-US"/>
        </w:rPr>
        <w:t xml:space="preserve">e, </w:t>
      </w:r>
      <w:r w:rsidR="00DD5E49">
        <w:rPr>
          <w:lang w:val="en-US"/>
        </w:rPr>
        <w:t>December</w:t>
      </w:r>
      <w:r w:rsidRPr="004C65C9">
        <w:rPr>
          <w:lang w:val="en-US"/>
        </w:rPr>
        <w:t xml:space="preserve"> 202</w:t>
      </w:r>
      <w:bookmarkEnd w:id="26"/>
      <w:r w:rsidR="00DD5E49">
        <w:rPr>
          <w:lang w:val="en-US"/>
        </w:rPr>
        <w:t>1</w:t>
      </w:r>
      <w:r w:rsidR="00D241E6">
        <w:rPr>
          <w:lang w:val="en-US"/>
        </w:rPr>
        <w:t>.</w:t>
      </w:r>
    </w:p>
    <w:p w14:paraId="3A6343EB" w14:textId="51FFEE6F" w:rsidR="00D80818" w:rsidRDefault="00950403" w:rsidP="000E6A95">
      <w:pPr>
        <w:pStyle w:val="ListParagraph"/>
        <w:numPr>
          <w:ilvl w:val="0"/>
          <w:numId w:val="1"/>
        </w:numPr>
        <w:spacing w:after="0"/>
        <w:rPr>
          <w:lang w:val="en-US"/>
        </w:rPr>
      </w:pPr>
      <w:r>
        <w:rPr>
          <w:lang w:val="en-US"/>
        </w:rPr>
        <w:t>Chairman note</w:t>
      </w:r>
      <w:r w:rsidR="005868A8">
        <w:rPr>
          <w:lang w:val="en-US"/>
        </w:rPr>
        <w:t>s, RAN1#110</w:t>
      </w:r>
    </w:p>
    <w:p w14:paraId="626B003F" w14:textId="611E1673" w:rsidR="00F5797F" w:rsidRDefault="00F5797F" w:rsidP="00F5797F">
      <w:pPr>
        <w:spacing w:after="0"/>
        <w:rPr>
          <w:lang w:val="en-US"/>
        </w:rPr>
      </w:pPr>
    </w:p>
    <w:p w14:paraId="5A50296B" w14:textId="7C0A38B0" w:rsidR="00F5797F" w:rsidRDefault="00F5797F" w:rsidP="00F5797F">
      <w:pPr>
        <w:spacing w:after="0"/>
        <w:rPr>
          <w:lang w:val="en-US"/>
        </w:rPr>
      </w:pPr>
    </w:p>
    <w:p w14:paraId="2F2DB525" w14:textId="59F3D615" w:rsidR="00F5797F" w:rsidRDefault="00F5797F" w:rsidP="00F5797F">
      <w:pPr>
        <w:spacing w:after="0"/>
        <w:rPr>
          <w:lang w:val="en-US"/>
        </w:rPr>
      </w:pPr>
    </w:p>
    <w:p w14:paraId="7A68C99A" w14:textId="77777777" w:rsidR="00F5797F" w:rsidRPr="00F5797F" w:rsidRDefault="00F5797F" w:rsidP="00F5797F">
      <w:pPr>
        <w:spacing w:after="0"/>
        <w:rPr>
          <w:lang w:val="en-US"/>
        </w:rPr>
      </w:pPr>
    </w:p>
    <w:bookmarkEnd w:id="27"/>
    <w:bookmarkEnd w:id="28"/>
    <w:bookmarkEnd w:id="29"/>
    <w:p w14:paraId="2BC99DF9" w14:textId="7B0BD7AC" w:rsidR="00BC5669" w:rsidRDefault="00BC5669">
      <w:pPr>
        <w:pStyle w:val="Heading1"/>
      </w:pPr>
      <w:r>
        <w:t>Appendix</w:t>
      </w:r>
      <w:r w:rsidR="00EE5480">
        <w:t>: Simulation assumptions in SLS evaluation</w:t>
      </w:r>
    </w:p>
    <w:p w14:paraId="7A3D556A" w14:textId="7273955E" w:rsidR="00EE5480" w:rsidRDefault="00EE5480" w:rsidP="00EE5480">
      <w:pPr>
        <w:spacing w:after="120"/>
        <w:jc w:val="center"/>
      </w:pPr>
      <w:bookmarkStart w:id="30" w:name="_Ref101777776"/>
      <w:r w:rsidRPr="00922E39">
        <w:t xml:space="preserve">Table </w:t>
      </w:r>
      <w:bookmarkEnd w:id="30"/>
      <w:r w:rsidR="00C24377">
        <w:t>5</w:t>
      </w:r>
      <w:r w:rsidRPr="00922E39">
        <w:t xml:space="preserve">: </w:t>
      </w:r>
      <w:r w:rsidRPr="00EE5480">
        <w:t>Simulation assumptions in SLS</w:t>
      </w:r>
      <w:r w:rsidR="007B7D7C">
        <w:t xml:space="preserve"> for SBFD</w:t>
      </w:r>
      <w:r w:rsidRPr="00EE5480">
        <w:t xml:space="preserve"> evaluation</w:t>
      </w:r>
      <w:r>
        <w:t>.</w:t>
      </w:r>
    </w:p>
    <w:tbl>
      <w:tblPr>
        <w:tblW w:w="5000" w:type="pct"/>
        <w:jc w:val="center"/>
        <w:tblLook w:val="04A0" w:firstRow="1" w:lastRow="0" w:firstColumn="1" w:lastColumn="0" w:noHBand="0" w:noVBand="1"/>
      </w:tblPr>
      <w:tblGrid>
        <w:gridCol w:w="2167"/>
        <w:gridCol w:w="2417"/>
        <w:gridCol w:w="5047"/>
      </w:tblGrid>
      <w:tr w:rsidR="003C7447" w:rsidRPr="0038344D" w14:paraId="2C16E8E2" w14:textId="77777777" w:rsidTr="003C7447">
        <w:trPr>
          <w:trHeight w:val="290"/>
          <w:jc w:val="center"/>
        </w:trPr>
        <w:tc>
          <w:tcPr>
            <w:tcW w:w="2380" w:type="pct"/>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5D1CBC0B" w14:textId="77777777" w:rsidR="003C7447" w:rsidRPr="0038344D" w:rsidRDefault="003C7447" w:rsidP="00E31A1F">
            <w:pPr>
              <w:spacing w:after="0"/>
              <w:jc w:val="center"/>
            </w:pPr>
            <w:r w:rsidRPr="0038344D">
              <w:rPr>
                <w:rFonts w:eastAsia="Times New Roman"/>
                <w:color w:val="000000"/>
              </w:rPr>
              <w:t>Parameter set</w:t>
            </w:r>
          </w:p>
        </w:tc>
        <w:tc>
          <w:tcPr>
            <w:tcW w:w="2620" w:type="pct"/>
            <w:tcBorders>
              <w:top w:val="single" w:sz="4" w:space="0" w:color="auto"/>
              <w:left w:val="single" w:sz="4" w:space="0" w:color="auto"/>
              <w:bottom w:val="single" w:sz="4" w:space="0" w:color="auto"/>
              <w:right w:val="single" w:sz="4" w:space="0" w:color="auto"/>
            </w:tcBorders>
            <w:shd w:val="clear" w:color="000000" w:fill="F2F2F2"/>
          </w:tcPr>
          <w:p w14:paraId="3266C817" w14:textId="77777777" w:rsidR="003C7447" w:rsidRPr="0038344D" w:rsidRDefault="003C7447" w:rsidP="00E31A1F">
            <w:pPr>
              <w:spacing w:after="0"/>
              <w:jc w:val="center"/>
              <w:rPr>
                <w:rFonts w:eastAsia="Times New Roman"/>
                <w:color w:val="000000"/>
              </w:rPr>
            </w:pPr>
            <w:r w:rsidRPr="0038344D">
              <w:rPr>
                <w:rFonts w:eastAsia="Times New Roman"/>
                <w:color w:val="000000"/>
              </w:rPr>
              <w:t>Urban Macro (FR1)</w:t>
            </w:r>
          </w:p>
        </w:tc>
      </w:tr>
      <w:tr w:rsidR="003C7447" w:rsidRPr="0038344D" w14:paraId="41B2C0CD" w14:textId="77777777" w:rsidTr="003C7447">
        <w:trPr>
          <w:trHeight w:val="290"/>
          <w:jc w:val="center"/>
        </w:trPr>
        <w:tc>
          <w:tcPr>
            <w:tcW w:w="1125" w:type="pct"/>
            <w:vMerge w:val="restart"/>
            <w:tcBorders>
              <w:top w:val="nil"/>
              <w:left w:val="single" w:sz="4" w:space="0" w:color="auto"/>
              <w:bottom w:val="single" w:sz="4" w:space="0" w:color="auto"/>
              <w:right w:val="single" w:sz="4" w:space="0" w:color="auto"/>
            </w:tcBorders>
            <w:shd w:val="clear" w:color="000000" w:fill="F2F2F2"/>
            <w:vAlign w:val="center"/>
            <w:hideMark/>
          </w:tcPr>
          <w:p w14:paraId="05F0E75E" w14:textId="77777777" w:rsidR="003C7447" w:rsidRPr="0038344D" w:rsidRDefault="003C7447" w:rsidP="00E31A1F">
            <w:pPr>
              <w:spacing w:after="0"/>
              <w:rPr>
                <w:rFonts w:eastAsia="Times New Roman"/>
                <w:color w:val="000000"/>
              </w:rPr>
            </w:pPr>
            <w:r w:rsidRPr="0038344D">
              <w:rPr>
                <w:rFonts w:eastAsia="Times New Roman"/>
                <w:color w:val="000000"/>
              </w:rPr>
              <w:t>A. General</w:t>
            </w:r>
          </w:p>
        </w:tc>
        <w:tc>
          <w:tcPr>
            <w:tcW w:w="1255" w:type="pct"/>
            <w:tcBorders>
              <w:top w:val="nil"/>
              <w:left w:val="nil"/>
              <w:bottom w:val="single" w:sz="4" w:space="0" w:color="auto"/>
              <w:right w:val="single" w:sz="4" w:space="0" w:color="auto"/>
            </w:tcBorders>
            <w:shd w:val="clear" w:color="000000" w:fill="F2F2F2"/>
            <w:vAlign w:val="center"/>
            <w:hideMark/>
          </w:tcPr>
          <w:p w14:paraId="05E8BCA5" w14:textId="77777777" w:rsidR="003C7447" w:rsidRPr="0038344D" w:rsidRDefault="003C7447" w:rsidP="00E31A1F">
            <w:pPr>
              <w:spacing w:after="0"/>
              <w:rPr>
                <w:rFonts w:eastAsia="Times New Roman"/>
                <w:color w:val="000000"/>
              </w:rPr>
            </w:pPr>
            <w:r w:rsidRPr="0038344D">
              <w:rPr>
                <w:rFonts w:eastAsia="Times New Roman"/>
                <w:color w:val="000000"/>
              </w:rPr>
              <w:t>Carrier frequency</w:t>
            </w:r>
          </w:p>
        </w:tc>
        <w:tc>
          <w:tcPr>
            <w:tcW w:w="2620" w:type="pct"/>
            <w:tcBorders>
              <w:top w:val="nil"/>
              <w:left w:val="nil"/>
              <w:bottom w:val="single" w:sz="4" w:space="0" w:color="auto"/>
              <w:right w:val="single" w:sz="4" w:space="0" w:color="auto"/>
            </w:tcBorders>
            <w:shd w:val="clear" w:color="000000" w:fill="F2F2F2"/>
            <w:vAlign w:val="center"/>
          </w:tcPr>
          <w:p w14:paraId="4C99C1F5" w14:textId="77777777" w:rsidR="003C7447" w:rsidRPr="0038344D" w:rsidRDefault="003C7447" w:rsidP="00E31A1F">
            <w:pPr>
              <w:spacing w:after="0"/>
              <w:rPr>
                <w:rFonts w:eastAsia="Times New Roman"/>
                <w:color w:val="000000"/>
              </w:rPr>
            </w:pPr>
            <w:r w:rsidRPr="0038344D">
              <w:rPr>
                <w:color w:val="000000"/>
              </w:rPr>
              <w:t>4 GHz</w:t>
            </w:r>
          </w:p>
        </w:tc>
      </w:tr>
      <w:tr w:rsidR="003C7447" w:rsidRPr="0038344D" w14:paraId="1B1B07DD" w14:textId="77777777" w:rsidTr="003C7447">
        <w:trPr>
          <w:trHeight w:val="70"/>
          <w:jc w:val="center"/>
        </w:trPr>
        <w:tc>
          <w:tcPr>
            <w:tcW w:w="1125" w:type="pct"/>
            <w:vMerge/>
            <w:tcBorders>
              <w:top w:val="nil"/>
              <w:left w:val="single" w:sz="4" w:space="0" w:color="auto"/>
              <w:bottom w:val="single" w:sz="4" w:space="0" w:color="auto"/>
              <w:right w:val="single" w:sz="4" w:space="0" w:color="auto"/>
            </w:tcBorders>
            <w:vAlign w:val="center"/>
            <w:hideMark/>
          </w:tcPr>
          <w:p w14:paraId="019B486D"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3D3629CE" w14:textId="77777777" w:rsidR="003C7447" w:rsidRPr="0038344D" w:rsidRDefault="003C7447" w:rsidP="00E31A1F">
            <w:pPr>
              <w:spacing w:after="0"/>
              <w:rPr>
                <w:rFonts w:eastAsia="Times New Roman"/>
                <w:color w:val="000000"/>
              </w:rPr>
            </w:pPr>
            <w:r w:rsidRPr="0038344D">
              <w:rPr>
                <w:rFonts w:eastAsia="Times New Roman"/>
                <w:color w:val="000000"/>
              </w:rPr>
              <w:t>System bandwidth</w:t>
            </w:r>
          </w:p>
        </w:tc>
        <w:tc>
          <w:tcPr>
            <w:tcW w:w="2620" w:type="pct"/>
            <w:tcBorders>
              <w:top w:val="nil"/>
              <w:left w:val="nil"/>
              <w:bottom w:val="single" w:sz="4" w:space="0" w:color="auto"/>
              <w:right w:val="single" w:sz="4" w:space="0" w:color="auto"/>
            </w:tcBorders>
            <w:shd w:val="clear" w:color="000000" w:fill="F2F2F2"/>
            <w:vAlign w:val="center"/>
          </w:tcPr>
          <w:p w14:paraId="61EEA41E" w14:textId="77777777" w:rsidR="003C7447" w:rsidRPr="0038344D" w:rsidRDefault="003C7447" w:rsidP="00E31A1F">
            <w:pPr>
              <w:spacing w:after="0"/>
              <w:rPr>
                <w:rFonts w:eastAsia="Times New Roman"/>
                <w:color w:val="000000"/>
              </w:rPr>
            </w:pPr>
            <w:r w:rsidRPr="0038344D">
              <w:rPr>
                <w:color w:val="000000"/>
              </w:rPr>
              <w:t>100 MHz</w:t>
            </w:r>
          </w:p>
        </w:tc>
      </w:tr>
      <w:tr w:rsidR="003C7447" w:rsidRPr="0038344D" w14:paraId="24230B73" w14:textId="77777777" w:rsidTr="003C7447">
        <w:trPr>
          <w:trHeight w:val="143"/>
          <w:jc w:val="center"/>
        </w:trPr>
        <w:tc>
          <w:tcPr>
            <w:tcW w:w="1125" w:type="pct"/>
            <w:vMerge/>
            <w:tcBorders>
              <w:top w:val="nil"/>
              <w:left w:val="single" w:sz="4" w:space="0" w:color="auto"/>
              <w:bottom w:val="single" w:sz="4" w:space="0" w:color="auto"/>
              <w:right w:val="single" w:sz="4" w:space="0" w:color="auto"/>
            </w:tcBorders>
            <w:vAlign w:val="center"/>
            <w:hideMark/>
          </w:tcPr>
          <w:p w14:paraId="77097183"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4054B2B0" w14:textId="77777777" w:rsidR="003C7447" w:rsidRPr="0038344D" w:rsidRDefault="003C7447" w:rsidP="00E31A1F">
            <w:pPr>
              <w:spacing w:after="0"/>
              <w:rPr>
                <w:rFonts w:eastAsia="Times New Roman"/>
                <w:color w:val="000000"/>
              </w:rPr>
            </w:pPr>
            <w:r w:rsidRPr="0038344D">
              <w:rPr>
                <w:rFonts w:eastAsia="Times New Roman"/>
                <w:color w:val="000000"/>
              </w:rPr>
              <w:t>Numerology</w:t>
            </w:r>
          </w:p>
        </w:tc>
        <w:tc>
          <w:tcPr>
            <w:tcW w:w="2620" w:type="pct"/>
            <w:tcBorders>
              <w:top w:val="nil"/>
              <w:left w:val="nil"/>
              <w:bottom w:val="single" w:sz="4" w:space="0" w:color="auto"/>
              <w:right w:val="single" w:sz="4" w:space="0" w:color="auto"/>
            </w:tcBorders>
            <w:shd w:val="clear" w:color="000000" w:fill="F2F2F2"/>
            <w:vAlign w:val="center"/>
          </w:tcPr>
          <w:p w14:paraId="0C57ECC5" w14:textId="77777777" w:rsidR="003C7447" w:rsidRPr="0038344D" w:rsidRDefault="003C7447" w:rsidP="00E31A1F">
            <w:pPr>
              <w:spacing w:after="0"/>
              <w:rPr>
                <w:rFonts w:eastAsia="Times New Roman"/>
                <w:color w:val="000000"/>
              </w:rPr>
            </w:pPr>
            <w:r w:rsidRPr="0038344D">
              <w:rPr>
                <w:color w:val="000000"/>
              </w:rPr>
              <w:t>14 OFDM symbol slot, SCS = 30kHz</w:t>
            </w:r>
          </w:p>
        </w:tc>
      </w:tr>
      <w:tr w:rsidR="003C7447" w:rsidRPr="0038344D" w14:paraId="1E315503" w14:textId="77777777" w:rsidTr="003C7447">
        <w:trPr>
          <w:trHeight w:val="350"/>
          <w:jc w:val="center"/>
        </w:trPr>
        <w:tc>
          <w:tcPr>
            <w:tcW w:w="1125" w:type="pct"/>
            <w:vMerge w:val="restart"/>
            <w:tcBorders>
              <w:top w:val="nil"/>
              <w:left w:val="single" w:sz="4" w:space="0" w:color="auto"/>
              <w:bottom w:val="nil"/>
              <w:right w:val="single" w:sz="4" w:space="0" w:color="auto"/>
            </w:tcBorders>
            <w:shd w:val="clear" w:color="000000" w:fill="F2F2F2"/>
            <w:vAlign w:val="center"/>
            <w:hideMark/>
          </w:tcPr>
          <w:p w14:paraId="6F7AF1FF" w14:textId="77777777" w:rsidR="003C7447" w:rsidRPr="0038344D" w:rsidRDefault="003C7447" w:rsidP="00E31A1F">
            <w:pPr>
              <w:spacing w:after="0"/>
              <w:rPr>
                <w:rFonts w:eastAsia="Times New Roman"/>
                <w:color w:val="000000"/>
              </w:rPr>
            </w:pPr>
            <w:r w:rsidRPr="0038344D">
              <w:rPr>
                <w:rFonts w:eastAsia="Times New Roman"/>
                <w:color w:val="000000"/>
              </w:rPr>
              <w:t>B. Layout and UE distribution</w:t>
            </w:r>
          </w:p>
        </w:tc>
        <w:tc>
          <w:tcPr>
            <w:tcW w:w="1255" w:type="pct"/>
            <w:tcBorders>
              <w:top w:val="nil"/>
              <w:left w:val="nil"/>
              <w:bottom w:val="single" w:sz="4" w:space="0" w:color="auto"/>
              <w:right w:val="single" w:sz="4" w:space="0" w:color="auto"/>
            </w:tcBorders>
            <w:shd w:val="clear" w:color="000000" w:fill="F2F2F2"/>
            <w:vAlign w:val="center"/>
            <w:hideMark/>
          </w:tcPr>
          <w:p w14:paraId="5AA2BED1" w14:textId="77777777" w:rsidR="003C7447" w:rsidRPr="0038344D" w:rsidRDefault="003C7447" w:rsidP="00E31A1F">
            <w:pPr>
              <w:spacing w:after="0"/>
              <w:rPr>
                <w:rFonts w:eastAsia="Times New Roman"/>
                <w:color w:val="000000"/>
              </w:rPr>
            </w:pPr>
            <w:r w:rsidRPr="0038344D">
              <w:rPr>
                <w:rFonts w:eastAsia="Times New Roman"/>
                <w:color w:val="000000"/>
              </w:rPr>
              <w:t>BS Layout</w:t>
            </w:r>
          </w:p>
        </w:tc>
        <w:tc>
          <w:tcPr>
            <w:tcW w:w="2620" w:type="pct"/>
            <w:tcBorders>
              <w:top w:val="nil"/>
              <w:left w:val="nil"/>
              <w:bottom w:val="single" w:sz="4" w:space="0" w:color="auto"/>
              <w:right w:val="single" w:sz="4" w:space="0" w:color="auto"/>
            </w:tcBorders>
            <w:shd w:val="clear" w:color="000000" w:fill="F2F2F2"/>
            <w:vAlign w:val="center"/>
          </w:tcPr>
          <w:p w14:paraId="307F4972" w14:textId="77777777" w:rsidR="003C7447" w:rsidRPr="0038344D" w:rsidRDefault="003C7447" w:rsidP="00E31A1F">
            <w:pPr>
              <w:spacing w:after="0"/>
              <w:rPr>
                <w:rFonts w:eastAsia="Times New Roman"/>
                <w:color w:val="000000"/>
              </w:rPr>
            </w:pPr>
            <w:r w:rsidRPr="0038344D">
              <w:rPr>
                <w:color w:val="000000"/>
              </w:rPr>
              <w:t>Hexagonal grid with 7 macro sites and 3 sectors per site with wrap around</w:t>
            </w:r>
          </w:p>
        </w:tc>
      </w:tr>
      <w:tr w:rsidR="003C7447" w:rsidRPr="0038344D" w14:paraId="211B8DF8" w14:textId="77777777" w:rsidTr="003C7447">
        <w:trPr>
          <w:trHeight w:val="70"/>
          <w:jc w:val="center"/>
        </w:trPr>
        <w:tc>
          <w:tcPr>
            <w:tcW w:w="1125" w:type="pct"/>
            <w:vMerge/>
            <w:tcBorders>
              <w:top w:val="nil"/>
              <w:left w:val="single" w:sz="4" w:space="0" w:color="auto"/>
              <w:bottom w:val="nil"/>
              <w:right w:val="single" w:sz="4" w:space="0" w:color="auto"/>
            </w:tcBorders>
            <w:vAlign w:val="center"/>
            <w:hideMark/>
          </w:tcPr>
          <w:p w14:paraId="65970936"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6E495480" w14:textId="77777777" w:rsidR="003C7447" w:rsidRPr="0038344D" w:rsidRDefault="003C7447" w:rsidP="00E31A1F">
            <w:pPr>
              <w:spacing w:after="0"/>
              <w:rPr>
                <w:rFonts w:eastAsia="Times New Roman"/>
                <w:color w:val="000000"/>
              </w:rPr>
            </w:pPr>
            <w:r w:rsidRPr="0038344D">
              <w:rPr>
                <w:rFonts w:eastAsia="Times New Roman"/>
                <w:color w:val="000000"/>
              </w:rPr>
              <w:t>Wrap-round</w:t>
            </w:r>
          </w:p>
        </w:tc>
        <w:tc>
          <w:tcPr>
            <w:tcW w:w="2620" w:type="pct"/>
            <w:tcBorders>
              <w:top w:val="nil"/>
              <w:left w:val="nil"/>
              <w:bottom w:val="single" w:sz="4" w:space="0" w:color="auto"/>
              <w:right w:val="single" w:sz="4" w:space="0" w:color="auto"/>
            </w:tcBorders>
            <w:shd w:val="clear" w:color="000000" w:fill="F2F2F2"/>
            <w:vAlign w:val="center"/>
          </w:tcPr>
          <w:p w14:paraId="0E3BA452" w14:textId="77777777" w:rsidR="003C7447" w:rsidRPr="0038344D" w:rsidRDefault="003C7447" w:rsidP="00E31A1F">
            <w:pPr>
              <w:spacing w:after="0"/>
              <w:rPr>
                <w:rFonts w:eastAsia="Times New Roman"/>
                <w:color w:val="000000"/>
              </w:rPr>
            </w:pPr>
            <w:r w:rsidRPr="0038344D">
              <w:rPr>
                <w:color w:val="000000"/>
              </w:rPr>
              <w:t>distance-based</w:t>
            </w:r>
          </w:p>
        </w:tc>
      </w:tr>
      <w:tr w:rsidR="003C7447" w:rsidRPr="0038344D" w14:paraId="46233EFA" w14:textId="77777777" w:rsidTr="003C7447">
        <w:trPr>
          <w:trHeight w:val="98"/>
          <w:jc w:val="center"/>
        </w:trPr>
        <w:tc>
          <w:tcPr>
            <w:tcW w:w="1125" w:type="pct"/>
            <w:vMerge/>
            <w:tcBorders>
              <w:top w:val="nil"/>
              <w:left w:val="single" w:sz="4" w:space="0" w:color="auto"/>
              <w:bottom w:val="nil"/>
              <w:right w:val="single" w:sz="4" w:space="0" w:color="auto"/>
            </w:tcBorders>
            <w:vAlign w:val="center"/>
            <w:hideMark/>
          </w:tcPr>
          <w:p w14:paraId="39223511"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705A9C13" w14:textId="77777777" w:rsidR="003C7447" w:rsidRPr="0038344D" w:rsidRDefault="003C7447" w:rsidP="00E31A1F">
            <w:pPr>
              <w:spacing w:after="0"/>
              <w:rPr>
                <w:rFonts w:eastAsia="Times New Roman"/>
                <w:color w:val="000000"/>
              </w:rPr>
            </w:pPr>
            <w:r w:rsidRPr="0038344D">
              <w:rPr>
                <w:rFonts w:eastAsia="Times New Roman"/>
                <w:color w:val="000000"/>
              </w:rPr>
              <w:t>Inter-BS (2D) distance</w:t>
            </w:r>
          </w:p>
        </w:tc>
        <w:tc>
          <w:tcPr>
            <w:tcW w:w="2620" w:type="pct"/>
            <w:tcBorders>
              <w:top w:val="nil"/>
              <w:left w:val="nil"/>
              <w:bottom w:val="single" w:sz="4" w:space="0" w:color="auto"/>
              <w:right w:val="single" w:sz="4" w:space="0" w:color="auto"/>
            </w:tcBorders>
            <w:shd w:val="clear" w:color="000000" w:fill="F2F2F2"/>
            <w:vAlign w:val="center"/>
          </w:tcPr>
          <w:p w14:paraId="5F226901" w14:textId="77777777" w:rsidR="003C7447" w:rsidRPr="0038344D" w:rsidRDefault="003C7447" w:rsidP="00E31A1F">
            <w:pPr>
              <w:spacing w:after="0"/>
              <w:rPr>
                <w:rFonts w:eastAsia="Times New Roman"/>
                <w:color w:val="000000"/>
              </w:rPr>
            </w:pPr>
            <w:r w:rsidRPr="0038344D">
              <w:rPr>
                <w:color w:val="000000"/>
              </w:rPr>
              <w:t>500m</w:t>
            </w:r>
          </w:p>
        </w:tc>
      </w:tr>
      <w:tr w:rsidR="003C7447" w:rsidRPr="0038344D" w14:paraId="0F9F0117" w14:textId="77777777" w:rsidTr="003C7447">
        <w:trPr>
          <w:trHeight w:val="70"/>
          <w:jc w:val="center"/>
        </w:trPr>
        <w:tc>
          <w:tcPr>
            <w:tcW w:w="1125" w:type="pct"/>
            <w:vMerge/>
            <w:tcBorders>
              <w:top w:val="nil"/>
              <w:left w:val="single" w:sz="4" w:space="0" w:color="auto"/>
              <w:bottom w:val="nil"/>
              <w:right w:val="single" w:sz="4" w:space="0" w:color="auto"/>
            </w:tcBorders>
            <w:vAlign w:val="center"/>
            <w:hideMark/>
          </w:tcPr>
          <w:p w14:paraId="5133E113"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4E4E7117" w14:textId="77777777" w:rsidR="003C7447" w:rsidRPr="0038344D" w:rsidRDefault="003C7447" w:rsidP="00E31A1F">
            <w:pPr>
              <w:spacing w:after="0"/>
              <w:rPr>
                <w:rFonts w:eastAsia="Times New Roman"/>
                <w:color w:val="000000"/>
              </w:rPr>
            </w:pPr>
            <w:r w:rsidRPr="0038344D">
              <w:rPr>
                <w:rFonts w:eastAsia="Times New Roman"/>
                <w:color w:val="000000"/>
              </w:rPr>
              <w:t>BS antenna height</w:t>
            </w:r>
          </w:p>
        </w:tc>
        <w:tc>
          <w:tcPr>
            <w:tcW w:w="2620" w:type="pct"/>
            <w:tcBorders>
              <w:top w:val="nil"/>
              <w:left w:val="nil"/>
              <w:bottom w:val="single" w:sz="4" w:space="0" w:color="auto"/>
              <w:right w:val="single" w:sz="4" w:space="0" w:color="auto"/>
            </w:tcBorders>
            <w:shd w:val="clear" w:color="000000" w:fill="F2F2F2"/>
            <w:vAlign w:val="center"/>
          </w:tcPr>
          <w:p w14:paraId="32555B5E" w14:textId="77777777" w:rsidR="003C7447" w:rsidRPr="0038344D" w:rsidRDefault="003C7447" w:rsidP="00E31A1F">
            <w:pPr>
              <w:spacing w:after="0"/>
              <w:rPr>
                <w:rFonts w:eastAsia="Times New Roman"/>
                <w:color w:val="000000"/>
              </w:rPr>
            </w:pPr>
            <w:r w:rsidRPr="0038344D">
              <w:rPr>
                <w:color w:val="000000"/>
              </w:rPr>
              <w:t>25m</w:t>
            </w:r>
          </w:p>
        </w:tc>
      </w:tr>
      <w:tr w:rsidR="003C7447" w:rsidRPr="0038344D" w14:paraId="2971D495" w14:textId="77777777" w:rsidTr="003C7447">
        <w:trPr>
          <w:trHeight w:val="1592"/>
          <w:jc w:val="center"/>
        </w:trPr>
        <w:tc>
          <w:tcPr>
            <w:tcW w:w="1125" w:type="pct"/>
            <w:vMerge/>
            <w:tcBorders>
              <w:top w:val="nil"/>
              <w:left w:val="single" w:sz="4" w:space="0" w:color="auto"/>
              <w:bottom w:val="nil"/>
              <w:right w:val="single" w:sz="4" w:space="0" w:color="auto"/>
            </w:tcBorders>
            <w:vAlign w:val="center"/>
            <w:hideMark/>
          </w:tcPr>
          <w:p w14:paraId="61F97DF6"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3B621F75" w14:textId="77777777" w:rsidR="003C7447" w:rsidRPr="0038344D" w:rsidRDefault="003C7447" w:rsidP="00E31A1F">
            <w:pPr>
              <w:spacing w:after="0"/>
              <w:rPr>
                <w:rFonts w:eastAsia="Times New Roman"/>
                <w:color w:val="000000"/>
              </w:rPr>
            </w:pPr>
            <w:r w:rsidRPr="0038344D">
              <w:rPr>
                <w:rFonts w:eastAsia="Times New Roman"/>
                <w:color w:val="000000"/>
              </w:rPr>
              <w:t>UE distribution</w:t>
            </w:r>
          </w:p>
        </w:tc>
        <w:tc>
          <w:tcPr>
            <w:tcW w:w="2620" w:type="pct"/>
            <w:tcBorders>
              <w:top w:val="nil"/>
              <w:left w:val="nil"/>
              <w:bottom w:val="single" w:sz="4" w:space="0" w:color="auto"/>
              <w:right w:val="single" w:sz="4" w:space="0" w:color="auto"/>
            </w:tcBorders>
            <w:shd w:val="clear" w:color="000000" w:fill="F2F2F2"/>
            <w:vAlign w:val="center"/>
          </w:tcPr>
          <w:p w14:paraId="3E5DA438" w14:textId="77777777" w:rsidR="003C7447" w:rsidRPr="0038344D" w:rsidRDefault="003C7447" w:rsidP="00E31A1F">
            <w:pPr>
              <w:spacing w:after="0"/>
              <w:rPr>
                <w:rFonts w:eastAsia="Times New Roman"/>
                <w:color w:val="000000"/>
              </w:rPr>
            </w:pPr>
            <w:r w:rsidRPr="0038344D">
              <w:t>UE clustering distribution</w:t>
            </w:r>
            <w:r w:rsidRPr="0038344D">
              <w:br/>
              <w:t>- (Baseline) M=20, X=2</w:t>
            </w:r>
            <w:r w:rsidRPr="0038344D">
              <w:br/>
              <w:t>- R' = 25m</w:t>
            </w:r>
            <w:r w:rsidRPr="0038344D">
              <w:br/>
              <w:t>- 8 UE per cluster per direction</w:t>
            </w:r>
            <w:r w:rsidRPr="0038344D">
              <w:br/>
              <w:t xml:space="preserve">- </w:t>
            </w:r>
            <w:proofErr w:type="spellStart"/>
            <w:r w:rsidRPr="0038344D">
              <w:t>D</w:t>
            </w:r>
            <w:r w:rsidRPr="0038344D">
              <w:rPr>
                <w:vertAlign w:val="subscript"/>
              </w:rPr>
              <w:t>macro</w:t>
            </w:r>
            <w:proofErr w:type="spellEnd"/>
            <w:r w:rsidRPr="0038344D">
              <w:rPr>
                <w:vertAlign w:val="subscript"/>
              </w:rPr>
              <w:t>-to-cluster</w:t>
            </w:r>
            <w:r w:rsidRPr="0038344D">
              <w:t xml:space="preserve"> = 35m+R'</w:t>
            </w:r>
            <w:r w:rsidRPr="0038344D">
              <w:br/>
              <w:t xml:space="preserve">- </w:t>
            </w:r>
            <w:proofErr w:type="spellStart"/>
            <w:r w:rsidRPr="0038344D">
              <w:t>D</w:t>
            </w:r>
            <w:r w:rsidRPr="0038344D">
              <w:rPr>
                <w:vertAlign w:val="subscript"/>
              </w:rPr>
              <w:t>inter</w:t>
            </w:r>
            <w:proofErr w:type="spellEnd"/>
            <w:r w:rsidRPr="0038344D">
              <w:rPr>
                <w:vertAlign w:val="subscript"/>
              </w:rPr>
              <w:t>-cluster</w:t>
            </w:r>
            <w:r w:rsidRPr="0038344D">
              <w:t xml:space="preserve"> = 2R' m</w:t>
            </w:r>
            <w:r w:rsidRPr="0038344D">
              <w:br/>
              <w:t>(Optional) Uniform UE distribution</w:t>
            </w:r>
            <w:r w:rsidRPr="0038344D">
              <w:br/>
              <w:t>-10 users per macro TRP per direction</w:t>
            </w:r>
          </w:p>
        </w:tc>
      </w:tr>
      <w:tr w:rsidR="003C7447" w:rsidRPr="0038344D" w14:paraId="5B4CBBE0" w14:textId="77777777" w:rsidTr="003C7447">
        <w:trPr>
          <w:trHeight w:val="278"/>
          <w:jc w:val="center"/>
        </w:trPr>
        <w:tc>
          <w:tcPr>
            <w:tcW w:w="1125" w:type="pct"/>
            <w:vMerge/>
            <w:tcBorders>
              <w:top w:val="nil"/>
              <w:left w:val="single" w:sz="4" w:space="0" w:color="auto"/>
              <w:bottom w:val="nil"/>
              <w:right w:val="single" w:sz="4" w:space="0" w:color="auto"/>
            </w:tcBorders>
            <w:vAlign w:val="center"/>
            <w:hideMark/>
          </w:tcPr>
          <w:p w14:paraId="0EF5229C"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6D3D8346" w14:textId="77777777" w:rsidR="003C7447" w:rsidRPr="0038344D" w:rsidRDefault="003C7447" w:rsidP="00E31A1F">
            <w:pPr>
              <w:spacing w:after="0"/>
              <w:rPr>
                <w:rFonts w:eastAsia="Times New Roman"/>
                <w:color w:val="000000"/>
              </w:rPr>
            </w:pPr>
            <w:r w:rsidRPr="0038344D">
              <w:rPr>
                <w:rFonts w:eastAsia="Times New Roman"/>
                <w:color w:val="000000"/>
              </w:rPr>
              <w:t>Minimum BS-UE (2D) distance</w:t>
            </w:r>
          </w:p>
        </w:tc>
        <w:tc>
          <w:tcPr>
            <w:tcW w:w="2620" w:type="pct"/>
            <w:tcBorders>
              <w:top w:val="nil"/>
              <w:left w:val="nil"/>
              <w:bottom w:val="single" w:sz="4" w:space="0" w:color="auto"/>
              <w:right w:val="single" w:sz="4" w:space="0" w:color="auto"/>
            </w:tcBorders>
            <w:shd w:val="clear" w:color="000000" w:fill="F2F2F2"/>
            <w:vAlign w:val="center"/>
          </w:tcPr>
          <w:p w14:paraId="6BE21501" w14:textId="77777777" w:rsidR="003C7447" w:rsidRPr="0038344D" w:rsidRDefault="003C7447" w:rsidP="00E31A1F">
            <w:pPr>
              <w:spacing w:after="0"/>
              <w:rPr>
                <w:rFonts w:eastAsia="Times New Roman"/>
                <w:color w:val="000000"/>
              </w:rPr>
            </w:pPr>
            <w:r w:rsidRPr="0038344D">
              <w:rPr>
                <w:color w:val="000000"/>
              </w:rPr>
              <w:t>35m</w:t>
            </w:r>
          </w:p>
        </w:tc>
      </w:tr>
      <w:tr w:rsidR="003C7447" w:rsidRPr="0038344D" w14:paraId="5A37A5B7" w14:textId="77777777" w:rsidTr="003C7447">
        <w:trPr>
          <w:trHeight w:val="260"/>
          <w:jc w:val="center"/>
        </w:trPr>
        <w:tc>
          <w:tcPr>
            <w:tcW w:w="1125" w:type="pct"/>
            <w:vMerge/>
            <w:tcBorders>
              <w:top w:val="nil"/>
              <w:left w:val="single" w:sz="4" w:space="0" w:color="auto"/>
              <w:bottom w:val="nil"/>
              <w:right w:val="single" w:sz="4" w:space="0" w:color="auto"/>
            </w:tcBorders>
            <w:vAlign w:val="center"/>
            <w:hideMark/>
          </w:tcPr>
          <w:p w14:paraId="29D06B99"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3BBCA3A6" w14:textId="77777777" w:rsidR="003C7447" w:rsidRPr="0038344D" w:rsidRDefault="003C7447" w:rsidP="00E31A1F">
            <w:pPr>
              <w:spacing w:after="0"/>
              <w:rPr>
                <w:rFonts w:eastAsia="Times New Roman"/>
                <w:color w:val="000000"/>
              </w:rPr>
            </w:pPr>
            <w:r w:rsidRPr="0038344D">
              <w:rPr>
                <w:rFonts w:eastAsia="Times New Roman"/>
                <w:color w:val="000000"/>
              </w:rPr>
              <w:t>Minimum UE-UE (2D) distance</w:t>
            </w:r>
          </w:p>
        </w:tc>
        <w:tc>
          <w:tcPr>
            <w:tcW w:w="2620" w:type="pct"/>
            <w:tcBorders>
              <w:top w:val="nil"/>
              <w:left w:val="nil"/>
              <w:bottom w:val="single" w:sz="4" w:space="0" w:color="auto"/>
              <w:right w:val="single" w:sz="4" w:space="0" w:color="auto"/>
            </w:tcBorders>
            <w:shd w:val="clear" w:color="000000" w:fill="F2F2F2"/>
          </w:tcPr>
          <w:p w14:paraId="4EDEF3B1" w14:textId="77777777" w:rsidR="003C7447" w:rsidRPr="0038344D" w:rsidRDefault="003C7447" w:rsidP="00E31A1F">
            <w:pPr>
              <w:spacing w:after="0"/>
              <w:rPr>
                <w:rFonts w:eastAsia="Times New Roman"/>
                <w:color w:val="000000"/>
              </w:rPr>
            </w:pPr>
            <w:r w:rsidRPr="0038344D">
              <w:rPr>
                <w:rFonts w:eastAsia="Times New Roman"/>
                <w:color w:val="000000"/>
              </w:rPr>
              <w:t>1m</w:t>
            </w:r>
          </w:p>
        </w:tc>
      </w:tr>
      <w:tr w:rsidR="003C7447" w:rsidRPr="0038344D" w14:paraId="04934328" w14:textId="77777777" w:rsidTr="003C7447">
        <w:trPr>
          <w:trHeight w:val="332"/>
          <w:jc w:val="center"/>
        </w:trPr>
        <w:tc>
          <w:tcPr>
            <w:tcW w:w="1125" w:type="pct"/>
            <w:vMerge/>
            <w:tcBorders>
              <w:top w:val="nil"/>
              <w:left w:val="single" w:sz="4" w:space="0" w:color="auto"/>
              <w:bottom w:val="nil"/>
              <w:right w:val="single" w:sz="4" w:space="0" w:color="auto"/>
            </w:tcBorders>
            <w:vAlign w:val="center"/>
            <w:hideMark/>
          </w:tcPr>
          <w:p w14:paraId="23DD4436"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7A8E8037" w14:textId="77777777" w:rsidR="003C7447" w:rsidRPr="0038344D" w:rsidRDefault="003C7447" w:rsidP="00E31A1F">
            <w:pPr>
              <w:spacing w:after="0"/>
              <w:rPr>
                <w:rFonts w:eastAsia="Times New Roman"/>
                <w:color w:val="000000"/>
              </w:rPr>
            </w:pPr>
            <w:r w:rsidRPr="0038344D">
              <w:rPr>
                <w:rFonts w:eastAsia="Times New Roman"/>
                <w:color w:val="000000"/>
              </w:rPr>
              <w:t>UE outdoor/indoor proportion</w:t>
            </w:r>
          </w:p>
        </w:tc>
        <w:tc>
          <w:tcPr>
            <w:tcW w:w="2620" w:type="pct"/>
            <w:tcBorders>
              <w:top w:val="nil"/>
              <w:left w:val="nil"/>
              <w:bottom w:val="single" w:sz="4" w:space="0" w:color="auto"/>
              <w:right w:val="single" w:sz="4" w:space="0" w:color="auto"/>
            </w:tcBorders>
            <w:shd w:val="clear" w:color="000000" w:fill="F2F2F2"/>
            <w:vAlign w:val="center"/>
          </w:tcPr>
          <w:p w14:paraId="47D9AB73" w14:textId="77777777" w:rsidR="003C7447" w:rsidRPr="0038344D" w:rsidRDefault="003C7447" w:rsidP="00E31A1F">
            <w:pPr>
              <w:spacing w:after="0"/>
              <w:rPr>
                <w:rFonts w:eastAsia="Times New Roman"/>
                <w:color w:val="000000"/>
              </w:rPr>
            </w:pPr>
            <w:r w:rsidRPr="0038344D">
              <w:rPr>
                <w:color w:val="000000"/>
              </w:rPr>
              <w:t>20% outdoor in cars: 30km/h; 80% indoor in houses: 3km/h</w:t>
            </w:r>
          </w:p>
        </w:tc>
      </w:tr>
      <w:tr w:rsidR="003C7447" w:rsidRPr="0038344D" w14:paraId="4F510B46" w14:textId="77777777" w:rsidTr="003C7447">
        <w:trPr>
          <w:trHeight w:val="575"/>
          <w:jc w:val="center"/>
        </w:trPr>
        <w:tc>
          <w:tcPr>
            <w:tcW w:w="1125" w:type="pct"/>
            <w:vMerge/>
            <w:tcBorders>
              <w:top w:val="nil"/>
              <w:left w:val="single" w:sz="4" w:space="0" w:color="auto"/>
              <w:bottom w:val="nil"/>
              <w:right w:val="single" w:sz="4" w:space="0" w:color="auto"/>
            </w:tcBorders>
            <w:vAlign w:val="center"/>
            <w:hideMark/>
          </w:tcPr>
          <w:p w14:paraId="208409FC"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047FC1B9" w14:textId="77777777" w:rsidR="003C7447" w:rsidRPr="0038344D" w:rsidRDefault="003C7447" w:rsidP="00E31A1F">
            <w:pPr>
              <w:spacing w:after="0"/>
              <w:rPr>
                <w:rFonts w:eastAsia="Times New Roman"/>
                <w:color w:val="000000"/>
              </w:rPr>
            </w:pPr>
            <w:r w:rsidRPr="0038344D">
              <w:rPr>
                <w:rFonts w:eastAsia="Times New Roman"/>
                <w:color w:val="000000"/>
              </w:rPr>
              <w:t>UE height (m)</w:t>
            </w:r>
          </w:p>
        </w:tc>
        <w:tc>
          <w:tcPr>
            <w:tcW w:w="2620" w:type="pct"/>
            <w:tcBorders>
              <w:top w:val="nil"/>
              <w:left w:val="nil"/>
              <w:bottom w:val="single" w:sz="4" w:space="0" w:color="auto"/>
              <w:right w:val="single" w:sz="4" w:space="0" w:color="auto"/>
            </w:tcBorders>
            <w:shd w:val="clear" w:color="000000" w:fill="F2F2F2"/>
            <w:vAlign w:val="center"/>
          </w:tcPr>
          <w:p w14:paraId="34377A06" w14:textId="656749D2" w:rsidR="003C7447" w:rsidRPr="0038344D" w:rsidRDefault="003C7447" w:rsidP="00E31A1F">
            <w:pPr>
              <w:spacing w:after="0"/>
              <w:rPr>
                <w:rFonts w:eastAsia="Times New Roman"/>
                <w:color w:val="000000"/>
              </w:rPr>
            </w:pPr>
            <w:r w:rsidRPr="0038344D">
              <w:rPr>
                <w:color w:val="000000"/>
              </w:rPr>
              <w:t>1.5m</w:t>
            </w:r>
          </w:p>
        </w:tc>
      </w:tr>
      <w:tr w:rsidR="003C7447" w:rsidRPr="0038344D" w14:paraId="665B3070" w14:textId="77777777" w:rsidTr="003C7447">
        <w:trPr>
          <w:trHeight w:val="188"/>
          <w:jc w:val="center"/>
        </w:trPr>
        <w:tc>
          <w:tcPr>
            <w:tcW w:w="1125"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732A6720" w14:textId="77777777" w:rsidR="003C7447" w:rsidRPr="0038344D" w:rsidRDefault="003C7447" w:rsidP="00E31A1F">
            <w:pPr>
              <w:spacing w:after="0"/>
              <w:rPr>
                <w:rFonts w:eastAsia="Times New Roman"/>
                <w:color w:val="000000"/>
              </w:rPr>
            </w:pPr>
            <w:r w:rsidRPr="0038344D">
              <w:rPr>
                <w:rFonts w:eastAsia="Times New Roman"/>
                <w:color w:val="000000"/>
              </w:rPr>
              <w:t xml:space="preserve">C. Interference modelling </w:t>
            </w:r>
          </w:p>
        </w:tc>
        <w:tc>
          <w:tcPr>
            <w:tcW w:w="1255" w:type="pct"/>
            <w:tcBorders>
              <w:top w:val="nil"/>
              <w:left w:val="nil"/>
              <w:bottom w:val="single" w:sz="4" w:space="0" w:color="auto"/>
              <w:right w:val="single" w:sz="4" w:space="0" w:color="auto"/>
            </w:tcBorders>
            <w:shd w:val="clear" w:color="000000" w:fill="F2F2F2"/>
            <w:hideMark/>
          </w:tcPr>
          <w:p w14:paraId="3CC329A4" w14:textId="77777777" w:rsidR="003C7447" w:rsidRPr="0038344D" w:rsidRDefault="003C7447" w:rsidP="00E31A1F">
            <w:pPr>
              <w:spacing w:after="0"/>
              <w:rPr>
                <w:rFonts w:eastAsia="Times New Roman"/>
                <w:color w:val="000000"/>
              </w:rPr>
            </w:pPr>
            <w:r w:rsidRPr="0038344D">
              <w:rPr>
                <w:rFonts w:eastAsia="Times New Roman"/>
                <w:color w:val="000000"/>
              </w:rPr>
              <w:t>gNB self-interference - αSI</w:t>
            </w:r>
          </w:p>
        </w:tc>
        <w:tc>
          <w:tcPr>
            <w:tcW w:w="2620" w:type="pct"/>
            <w:tcBorders>
              <w:top w:val="nil"/>
              <w:left w:val="nil"/>
              <w:bottom w:val="single" w:sz="4" w:space="0" w:color="auto"/>
              <w:right w:val="single" w:sz="4" w:space="0" w:color="auto"/>
            </w:tcBorders>
            <w:shd w:val="clear" w:color="000000" w:fill="F2F2F2"/>
          </w:tcPr>
          <w:p w14:paraId="26214B87" w14:textId="77777777" w:rsidR="003C7447" w:rsidRPr="0038344D" w:rsidRDefault="003C7447" w:rsidP="00E31A1F">
            <w:pPr>
              <w:spacing w:after="0"/>
              <w:rPr>
                <w:rFonts w:eastAsia="Times New Roman"/>
                <w:color w:val="000000"/>
              </w:rPr>
            </w:pPr>
            <w:r w:rsidRPr="0038344D">
              <w:rPr>
                <w:rFonts w:eastAsia="Times New Roman"/>
                <w:color w:val="000000"/>
              </w:rPr>
              <w:t xml:space="preserve">based on 1 dB UL </w:t>
            </w:r>
            <w:proofErr w:type="spellStart"/>
            <w:r w:rsidRPr="0038344D">
              <w:rPr>
                <w:rFonts w:eastAsia="Times New Roman"/>
                <w:color w:val="000000"/>
              </w:rPr>
              <w:t>desense</w:t>
            </w:r>
            <w:proofErr w:type="spellEnd"/>
          </w:p>
        </w:tc>
      </w:tr>
      <w:tr w:rsidR="003C7447" w:rsidRPr="0038344D" w14:paraId="4DB5CAAC" w14:textId="77777777" w:rsidTr="003C7447">
        <w:trPr>
          <w:trHeight w:val="530"/>
          <w:jc w:val="center"/>
        </w:trPr>
        <w:tc>
          <w:tcPr>
            <w:tcW w:w="1125" w:type="pct"/>
            <w:vMerge/>
            <w:tcBorders>
              <w:top w:val="single" w:sz="4" w:space="0" w:color="auto"/>
              <w:left w:val="single" w:sz="4" w:space="0" w:color="auto"/>
              <w:bottom w:val="single" w:sz="4" w:space="0" w:color="auto"/>
              <w:right w:val="single" w:sz="4" w:space="0" w:color="auto"/>
            </w:tcBorders>
            <w:vAlign w:val="center"/>
            <w:hideMark/>
          </w:tcPr>
          <w:p w14:paraId="535E33F2"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hideMark/>
          </w:tcPr>
          <w:p w14:paraId="5FFB9D09" w14:textId="77777777" w:rsidR="003C7447" w:rsidRPr="0038344D" w:rsidRDefault="003C7447" w:rsidP="00E31A1F">
            <w:pPr>
              <w:spacing w:after="0"/>
              <w:rPr>
                <w:rFonts w:eastAsia="Times New Roman"/>
                <w:color w:val="000000"/>
              </w:rPr>
            </w:pPr>
            <w:r w:rsidRPr="0038344D">
              <w:rPr>
                <w:rFonts w:eastAsia="Times New Roman"/>
                <w:color w:val="000000"/>
              </w:rPr>
              <w:t>Co-site inter-sector co-channel inter-subband CLI</w:t>
            </w:r>
          </w:p>
        </w:tc>
        <w:tc>
          <w:tcPr>
            <w:tcW w:w="2620" w:type="pct"/>
            <w:tcBorders>
              <w:top w:val="nil"/>
              <w:left w:val="nil"/>
              <w:bottom w:val="single" w:sz="4" w:space="0" w:color="auto"/>
              <w:right w:val="single" w:sz="4" w:space="0" w:color="auto"/>
            </w:tcBorders>
            <w:shd w:val="clear" w:color="000000" w:fill="F2F2F2"/>
            <w:vAlign w:val="center"/>
          </w:tcPr>
          <w:p w14:paraId="52C43F1B" w14:textId="77777777" w:rsidR="003C7447" w:rsidRPr="0038344D" w:rsidRDefault="003C7447" w:rsidP="00E31A1F">
            <w:pPr>
              <w:spacing w:after="0"/>
              <w:rPr>
                <w:rFonts w:eastAsia="Times New Roman"/>
                <w:color w:val="000000"/>
              </w:rPr>
            </w:pPr>
            <w:r w:rsidRPr="0038344D">
              <w:rPr>
                <w:color w:val="000000"/>
              </w:rPr>
              <w:t>Spatial isolation: 75dB (RAN4 typical value) / 93</w:t>
            </w:r>
            <w:proofErr w:type="gramStart"/>
            <w:r w:rsidRPr="0038344D">
              <w:rPr>
                <w:color w:val="000000"/>
              </w:rPr>
              <w:t>dB  (</w:t>
            </w:r>
            <w:proofErr w:type="gramEnd"/>
            <w:r w:rsidRPr="0038344D">
              <w:rPr>
                <w:color w:val="000000"/>
              </w:rPr>
              <w:t>RAN4 best value) / 100dB</w:t>
            </w:r>
            <w:r w:rsidRPr="0038344D">
              <w:rPr>
                <w:color w:val="000000"/>
              </w:rPr>
              <w:br/>
            </w:r>
            <w:r w:rsidRPr="0038344D">
              <w:rPr>
                <w:rFonts w:eastAsia="Microsoft YaHei"/>
                <w:color w:val="000000"/>
              </w:rPr>
              <w:t>D</w:t>
            </w:r>
            <w:r w:rsidRPr="0038344D">
              <w:rPr>
                <w:color w:val="000000"/>
              </w:rPr>
              <w:t>igital cancelation</w:t>
            </w:r>
            <w:r w:rsidRPr="0038344D">
              <w:rPr>
                <w:rFonts w:eastAsia="Microsoft YaHei"/>
                <w:color w:val="000000"/>
              </w:rPr>
              <w:t>: companies to report, e.g., 10dB</w:t>
            </w:r>
          </w:p>
        </w:tc>
      </w:tr>
      <w:tr w:rsidR="003C7447" w:rsidRPr="0038344D" w14:paraId="602E9F2F" w14:textId="77777777" w:rsidTr="003C7447">
        <w:trPr>
          <w:trHeight w:val="188"/>
          <w:jc w:val="center"/>
        </w:trPr>
        <w:tc>
          <w:tcPr>
            <w:tcW w:w="1125" w:type="pct"/>
            <w:vMerge/>
            <w:tcBorders>
              <w:top w:val="single" w:sz="4" w:space="0" w:color="auto"/>
              <w:left w:val="single" w:sz="4" w:space="0" w:color="auto"/>
              <w:bottom w:val="single" w:sz="4" w:space="0" w:color="auto"/>
              <w:right w:val="single" w:sz="4" w:space="0" w:color="auto"/>
            </w:tcBorders>
            <w:vAlign w:val="center"/>
            <w:hideMark/>
          </w:tcPr>
          <w:p w14:paraId="522CF67C"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21F8D043" w14:textId="77777777" w:rsidR="003C7447" w:rsidRPr="0038344D" w:rsidRDefault="003C7447" w:rsidP="00E31A1F">
            <w:pPr>
              <w:spacing w:after="0"/>
              <w:rPr>
                <w:rFonts w:eastAsia="Times New Roman"/>
                <w:color w:val="000000"/>
              </w:rPr>
            </w:pPr>
            <w:r w:rsidRPr="0038344D">
              <w:rPr>
                <w:rFonts w:eastAsia="Times New Roman"/>
                <w:color w:val="000000"/>
              </w:rPr>
              <w:t>BS ACLR</w:t>
            </w:r>
          </w:p>
        </w:tc>
        <w:tc>
          <w:tcPr>
            <w:tcW w:w="2620" w:type="pct"/>
            <w:tcBorders>
              <w:top w:val="nil"/>
              <w:left w:val="nil"/>
              <w:bottom w:val="single" w:sz="4" w:space="0" w:color="auto"/>
              <w:right w:val="single" w:sz="4" w:space="0" w:color="auto"/>
            </w:tcBorders>
            <w:shd w:val="clear" w:color="000000" w:fill="F2F2F2"/>
            <w:vAlign w:val="center"/>
          </w:tcPr>
          <w:p w14:paraId="615A4C51" w14:textId="77777777" w:rsidR="003C7447" w:rsidRPr="0038344D" w:rsidRDefault="003C7447" w:rsidP="00E31A1F">
            <w:pPr>
              <w:spacing w:after="0"/>
              <w:rPr>
                <w:rFonts w:eastAsia="Times New Roman"/>
                <w:color w:val="000000"/>
              </w:rPr>
            </w:pPr>
            <w:r w:rsidRPr="0038344D">
              <w:rPr>
                <w:color w:val="000000"/>
              </w:rPr>
              <w:t xml:space="preserve">45 </w:t>
            </w:r>
            <w:proofErr w:type="spellStart"/>
            <w:r w:rsidRPr="0038344D">
              <w:rPr>
                <w:color w:val="000000"/>
              </w:rPr>
              <w:t>dBc</w:t>
            </w:r>
            <w:proofErr w:type="spellEnd"/>
          </w:p>
        </w:tc>
      </w:tr>
      <w:tr w:rsidR="003C7447" w:rsidRPr="0038344D" w14:paraId="1C2C4171" w14:textId="77777777" w:rsidTr="003C7447">
        <w:trPr>
          <w:trHeight w:val="125"/>
          <w:jc w:val="center"/>
        </w:trPr>
        <w:tc>
          <w:tcPr>
            <w:tcW w:w="1125" w:type="pct"/>
            <w:vMerge/>
            <w:tcBorders>
              <w:top w:val="single" w:sz="4" w:space="0" w:color="auto"/>
              <w:left w:val="single" w:sz="4" w:space="0" w:color="auto"/>
              <w:bottom w:val="single" w:sz="4" w:space="0" w:color="auto"/>
              <w:right w:val="single" w:sz="4" w:space="0" w:color="auto"/>
            </w:tcBorders>
            <w:vAlign w:val="center"/>
            <w:hideMark/>
          </w:tcPr>
          <w:p w14:paraId="779DAD28"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7708C4A0" w14:textId="77777777" w:rsidR="003C7447" w:rsidRPr="0038344D" w:rsidRDefault="003C7447" w:rsidP="00E31A1F">
            <w:pPr>
              <w:spacing w:after="0"/>
              <w:jc w:val="both"/>
              <w:rPr>
                <w:rFonts w:eastAsia="Times New Roman"/>
                <w:color w:val="000000"/>
              </w:rPr>
            </w:pPr>
            <w:r w:rsidRPr="0038344D">
              <w:rPr>
                <w:rFonts w:eastAsia="Times New Roman"/>
                <w:color w:val="000000"/>
              </w:rPr>
              <w:t>BS ACS</w:t>
            </w:r>
          </w:p>
        </w:tc>
        <w:tc>
          <w:tcPr>
            <w:tcW w:w="2620" w:type="pct"/>
            <w:tcBorders>
              <w:top w:val="nil"/>
              <w:left w:val="nil"/>
              <w:bottom w:val="single" w:sz="4" w:space="0" w:color="auto"/>
              <w:right w:val="single" w:sz="4" w:space="0" w:color="auto"/>
            </w:tcBorders>
            <w:shd w:val="clear" w:color="000000" w:fill="F2F2F2"/>
            <w:vAlign w:val="center"/>
          </w:tcPr>
          <w:p w14:paraId="266C19F3" w14:textId="77777777" w:rsidR="003C7447" w:rsidRPr="0038344D" w:rsidRDefault="003C7447" w:rsidP="00E31A1F">
            <w:pPr>
              <w:spacing w:after="0"/>
              <w:jc w:val="both"/>
              <w:rPr>
                <w:rFonts w:eastAsia="Times New Roman"/>
                <w:color w:val="000000"/>
              </w:rPr>
            </w:pPr>
            <w:r w:rsidRPr="0038344D">
              <w:rPr>
                <w:color w:val="000000"/>
              </w:rPr>
              <w:t xml:space="preserve">46 </w:t>
            </w:r>
            <w:proofErr w:type="spellStart"/>
            <w:r w:rsidRPr="0038344D">
              <w:rPr>
                <w:color w:val="000000"/>
              </w:rPr>
              <w:t>dBc</w:t>
            </w:r>
            <w:proofErr w:type="spellEnd"/>
          </w:p>
        </w:tc>
      </w:tr>
      <w:tr w:rsidR="003C7447" w:rsidRPr="0038344D" w14:paraId="4C9A4996" w14:textId="77777777" w:rsidTr="003C7447">
        <w:trPr>
          <w:trHeight w:val="70"/>
          <w:jc w:val="center"/>
        </w:trPr>
        <w:tc>
          <w:tcPr>
            <w:tcW w:w="1125" w:type="pct"/>
            <w:vMerge/>
            <w:tcBorders>
              <w:top w:val="single" w:sz="4" w:space="0" w:color="auto"/>
              <w:left w:val="single" w:sz="4" w:space="0" w:color="auto"/>
              <w:bottom w:val="single" w:sz="4" w:space="0" w:color="auto"/>
              <w:right w:val="single" w:sz="4" w:space="0" w:color="auto"/>
            </w:tcBorders>
            <w:vAlign w:val="center"/>
            <w:hideMark/>
          </w:tcPr>
          <w:p w14:paraId="68D74E6F"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26E8F5FB" w14:textId="77777777" w:rsidR="003C7447" w:rsidRPr="0038344D" w:rsidRDefault="003C7447" w:rsidP="00E31A1F">
            <w:pPr>
              <w:spacing w:after="0"/>
              <w:rPr>
                <w:rFonts w:eastAsia="Times New Roman"/>
                <w:color w:val="000000"/>
              </w:rPr>
            </w:pPr>
            <w:r w:rsidRPr="0038344D">
              <w:rPr>
                <w:rFonts w:eastAsia="Times New Roman"/>
                <w:color w:val="000000"/>
              </w:rPr>
              <w:t>UE ACLR</w:t>
            </w:r>
          </w:p>
        </w:tc>
        <w:tc>
          <w:tcPr>
            <w:tcW w:w="2620" w:type="pct"/>
            <w:tcBorders>
              <w:top w:val="nil"/>
              <w:left w:val="nil"/>
              <w:bottom w:val="single" w:sz="4" w:space="0" w:color="auto"/>
              <w:right w:val="single" w:sz="4" w:space="0" w:color="auto"/>
            </w:tcBorders>
            <w:shd w:val="clear" w:color="000000" w:fill="F2F2F2"/>
            <w:vAlign w:val="center"/>
          </w:tcPr>
          <w:p w14:paraId="5231691C" w14:textId="77777777" w:rsidR="003C7447" w:rsidRPr="0038344D" w:rsidRDefault="003C7447" w:rsidP="00E31A1F">
            <w:pPr>
              <w:spacing w:after="0"/>
              <w:rPr>
                <w:rFonts w:eastAsia="Times New Roman"/>
                <w:color w:val="000000"/>
              </w:rPr>
            </w:pPr>
            <w:r w:rsidRPr="0038344D">
              <w:rPr>
                <w:color w:val="000000"/>
              </w:rPr>
              <w:t xml:space="preserve">30 </w:t>
            </w:r>
            <w:proofErr w:type="spellStart"/>
            <w:r w:rsidRPr="0038344D">
              <w:rPr>
                <w:color w:val="000000"/>
              </w:rPr>
              <w:t>dBc</w:t>
            </w:r>
            <w:proofErr w:type="spellEnd"/>
          </w:p>
        </w:tc>
      </w:tr>
      <w:tr w:rsidR="003C7447" w:rsidRPr="0038344D" w14:paraId="1BE2782E" w14:textId="77777777" w:rsidTr="003C7447">
        <w:trPr>
          <w:trHeight w:val="98"/>
          <w:jc w:val="center"/>
        </w:trPr>
        <w:tc>
          <w:tcPr>
            <w:tcW w:w="1125" w:type="pct"/>
            <w:vMerge/>
            <w:tcBorders>
              <w:top w:val="single" w:sz="4" w:space="0" w:color="auto"/>
              <w:left w:val="single" w:sz="4" w:space="0" w:color="auto"/>
              <w:bottom w:val="single" w:sz="4" w:space="0" w:color="auto"/>
              <w:right w:val="single" w:sz="4" w:space="0" w:color="auto"/>
            </w:tcBorders>
            <w:vAlign w:val="center"/>
            <w:hideMark/>
          </w:tcPr>
          <w:p w14:paraId="5605E757"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3B88EB5E" w14:textId="77777777" w:rsidR="003C7447" w:rsidRPr="0038344D" w:rsidRDefault="003C7447" w:rsidP="00E31A1F">
            <w:pPr>
              <w:spacing w:after="0"/>
              <w:jc w:val="both"/>
              <w:rPr>
                <w:rFonts w:eastAsia="Times New Roman"/>
                <w:color w:val="000000"/>
              </w:rPr>
            </w:pPr>
            <w:r w:rsidRPr="0038344D">
              <w:rPr>
                <w:rFonts w:eastAsia="Times New Roman"/>
                <w:color w:val="000000"/>
              </w:rPr>
              <w:t>UE ACS</w:t>
            </w:r>
          </w:p>
        </w:tc>
        <w:tc>
          <w:tcPr>
            <w:tcW w:w="2620" w:type="pct"/>
            <w:tcBorders>
              <w:top w:val="nil"/>
              <w:left w:val="nil"/>
              <w:bottom w:val="single" w:sz="4" w:space="0" w:color="auto"/>
              <w:right w:val="single" w:sz="4" w:space="0" w:color="auto"/>
            </w:tcBorders>
            <w:shd w:val="clear" w:color="000000" w:fill="F2F2F2"/>
            <w:vAlign w:val="center"/>
          </w:tcPr>
          <w:p w14:paraId="0EBA4B2B" w14:textId="77777777" w:rsidR="003C7447" w:rsidRPr="0038344D" w:rsidRDefault="003C7447" w:rsidP="00E31A1F">
            <w:pPr>
              <w:spacing w:after="0"/>
              <w:jc w:val="both"/>
              <w:rPr>
                <w:rFonts w:eastAsia="Times New Roman"/>
                <w:color w:val="000000"/>
              </w:rPr>
            </w:pPr>
            <w:r w:rsidRPr="0038344D">
              <w:rPr>
                <w:color w:val="000000"/>
              </w:rPr>
              <w:t xml:space="preserve">33 </w:t>
            </w:r>
            <w:proofErr w:type="spellStart"/>
            <w:r w:rsidRPr="0038344D">
              <w:rPr>
                <w:color w:val="000000"/>
              </w:rPr>
              <w:t>dBc</w:t>
            </w:r>
            <w:proofErr w:type="spellEnd"/>
          </w:p>
        </w:tc>
      </w:tr>
      <w:tr w:rsidR="003C7447" w:rsidRPr="0038344D" w14:paraId="526F8CFF" w14:textId="77777777" w:rsidTr="003C7447">
        <w:trPr>
          <w:trHeight w:val="125"/>
          <w:jc w:val="center"/>
        </w:trPr>
        <w:tc>
          <w:tcPr>
            <w:tcW w:w="1125" w:type="pct"/>
            <w:vMerge/>
            <w:tcBorders>
              <w:top w:val="single" w:sz="4" w:space="0" w:color="auto"/>
              <w:left w:val="single" w:sz="4" w:space="0" w:color="auto"/>
              <w:bottom w:val="single" w:sz="4" w:space="0" w:color="auto"/>
              <w:right w:val="single" w:sz="4" w:space="0" w:color="auto"/>
            </w:tcBorders>
            <w:vAlign w:val="center"/>
            <w:hideMark/>
          </w:tcPr>
          <w:p w14:paraId="5A294218"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7BD97432" w14:textId="77777777" w:rsidR="003C7447" w:rsidRPr="0038344D" w:rsidRDefault="003C7447" w:rsidP="00E31A1F">
            <w:pPr>
              <w:spacing w:after="0"/>
              <w:jc w:val="both"/>
              <w:rPr>
                <w:rFonts w:eastAsia="Times New Roman"/>
                <w:color w:val="000000"/>
              </w:rPr>
            </w:pPr>
            <w:r w:rsidRPr="0038344D">
              <w:rPr>
                <w:rFonts w:eastAsia="Times New Roman"/>
                <w:color w:val="000000"/>
              </w:rPr>
              <w:t>UE IBE</w:t>
            </w:r>
          </w:p>
        </w:tc>
        <w:tc>
          <w:tcPr>
            <w:tcW w:w="2620" w:type="pct"/>
            <w:tcBorders>
              <w:top w:val="nil"/>
              <w:left w:val="nil"/>
              <w:bottom w:val="single" w:sz="4" w:space="0" w:color="auto"/>
              <w:right w:val="single" w:sz="4" w:space="0" w:color="auto"/>
            </w:tcBorders>
            <w:shd w:val="clear" w:color="000000" w:fill="F2F2F2"/>
          </w:tcPr>
          <w:p w14:paraId="604BAE6E" w14:textId="77777777" w:rsidR="003C7447" w:rsidRPr="0038344D" w:rsidRDefault="003C7447" w:rsidP="00E31A1F">
            <w:pPr>
              <w:spacing w:after="0"/>
              <w:jc w:val="both"/>
              <w:rPr>
                <w:rFonts w:eastAsia="Times New Roman"/>
                <w:color w:val="000000"/>
              </w:rPr>
            </w:pPr>
            <w:r w:rsidRPr="0038344D">
              <w:rPr>
                <w:rFonts w:eastAsia="Times New Roman"/>
                <w:color w:val="000000"/>
              </w:rPr>
              <w:t>Refer to Annex A.2.X in TR 38.858</w:t>
            </w:r>
          </w:p>
        </w:tc>
      </w:tr>
      <w:tr w:rsidR="003C7447" w:rsidRPr="0038344D" w14:paraId="50D261F7" w14:textId="77777777" w:rsidTr="003C7447">
        <w:trPr>
          <w:trHeight w:val="70"/>
          <w:jc w:val="center"/>
        </w:trPr>
        <w:tc>
          <w:tcPr>
            <w:tcW w:w="1125" w:type="pct"/>
            <w:vMerge/>
            <w:tcBorders>
              <w:top w:val="single" w:sz="4" w:space="0" w:color="auto"/>
              <w:left w:val="single" w:sz="4" w:space="0" w:color="auto"/>
              <w:bottom w:val="single" w:sz="4" w:space="0" w:color="auto"/>
              <w:right w:val="single" w:sz="4" w:space="0" w:color="auto"/>
            </w:tcBorders>
            <w:vAlign w:val="center"/>
            <w:hideMark/>
          </w:tcPr>
          <w:p w14:paraId="1C810714"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1CF94815" w14:textId="77777777" w:rsidR="003C7447" w:rsidRPr="0038344D" w:rsidRDefault="003C7447" w:rsidP="00E31A1F">
            <w:pPr>
              <w:spacing w:after="0"/>
              <w:jc w:val="both"/>
              <w:rPr>
                <w:rFonts w:eastAsia="Times New Roman"/>
                <w:color w:val="000000"/>
              </w:rPr>
            </w:pPr>
            <w:r w:rsidRPr="0038344D">
              <w:rPr>
                <w:rFonts w:eastAsia="Times New Roman"/>
                <w:color w:val="000000"/>
              </w:rPr>
              <w:t>UE ICS</w:t>
            </w:r>
          </w:p>
        </w:tc>
        <w:tc>
          <w:tcPr>
            <w:tcW w:w="2620" w:type="pct"/>
            <w:tcBorders>
              <w:top w:val="nil"/>
              <w:left w:val="nil"/>
              <w:bottom w:val="single" w:sz="4" w:space="0" w:color="auto"/>
              <w:right w:val="single" w:sz="4" w:space="0" w:color="auto"/>
            </w:tcBorders>
            <w:shd w:val="clear" w:color="000000" w:fill="F2F2F2"/>
          </w:tcPr>
          <w:p w14:paraId="224F21DA" w14:textId="77777777" w:rsidR="003C7447" w:rsidRPr="0038344D" w:rsidRDefault="003C7447" w:rsidP="00E31A1F">
            <w:pPr>
              <w:spacing w:after="0"/>
              <w:jc w:val="both"/>
              <w:rPr>
                <w:rFonts w:eastAsia="Times New Roman"/>
                <w:color w:val="000000"/>
              </w:rPr>
            </w:pPr>
            <w:r w:rsidRPr="0038344D">
              <w:rPr>
                <w:rFonts w:eastAsia="Times New Roman"/>
                <w:color w:val="000000"/>
              </w:rPr>
              <w:t>Not Modelled</w:t>
            </w:r>
          </w:p>
        </w:tc>
      </w:tr>
      <w:tr w:rsidR="003C7447" w:rsidRPr="0038344D" w14:paraId="67E31774" w14:textId="77777777" w:rsidTr="003C7447">
        <w:trPr>
          <w:trHeight w:val="278"/>
          <w:jc w:val="center"/>
        </w:trPr>
        <w:tc>
          <w:tcPr>
            <w:tcW w:w="1125" w:type="pct"/>
            <w:vMerge w:val="restart"/>
            <w:tcBorders>
              <w:top w:val="nil"/>
              <w:left w:val="single" w:sz="4" w:space="0" w:color="auto"/>
              <w:bottom w:val="single" w:sz="4" w:space="0" w:color="auto"/>
              <w:right w:val="single" w:sz="4" w:space="0" w:color="auto"/>
            </w:tcBorders>
            <w:shd w:val="clear" w:color="000000" w:fill="F2F2F2"/>
            <w:vAlign w:val="center"/>
            <w:hideMark/>
          </w:tcPr>
          <w:p w14:paraId="32051C4B" w14:textId="77777777" w:rsidR="003C7447" w:rsidRPr="0038344D" w:rsidRDefault="003C7447" w:rsidP="00E31A1F">
            <w:pPr>
              <w:spacing w:after="0"/>
              <w:rPr>
                <w:rFonts w:eastAsia="Times New Roman"/>
                <w:color w:val="000000"/>
              </w:rPr>
            </w:pPr>
            <w:r w:rsidRPr="0038344D">
              <w:rPr>
                <w:rFonts w:eastAsia="Times New Roman"/>
                <w:color w:val="000000"/>
              </w:rPr>
              <w:t>D. SBFD subband and slot configurations</w:t>
            </w:r>
          </w:p>
        </w:tc>
        <w:tc>
          <w:tcPr>
            <w:tcW w:w="1255" w:type="pct"/>
            <w:tcBorders>
              <w:top w:val="nil"/>
              <w:left w:val="nil"/>
              <w:bottom w:val="single" w:sz="4" w:space="0" w:color="auto"/>
              <w:right w:val="single" w:sz="4" w:space="0" w:color="auto"/>
            </w:tcBorders>
            <w:shd w:val="clear" w:color="000000" w:fill="F2F2F2"/>
            <w:vAlign w:val="center"/>
            <w:hideMark/>
          </w:tcPr>
          <w:p w14:paraId="091B41BD" w14:textId="77777777" w:rsidR="003C7447" w:rsidRPr="0038344D" w:rsidRDefault="003C7447" w:rsidP="00E31A1F">
            <w:pPr>
              <w:spacing w:after="0"/>
              <w:jc w:val="both"/>
              <w:rPr>
                <w:rFonts w:eastAsia="Times New Roman"/>
                <w:color w:val="000000"/>
              </w:rPr>
            </w:pPr>
            <w:r w:rsidRPr="0038344D">
              <w:rPr>
                <w:rFonts w:eastAsia="Times New Roman"/>
                <w:color w:val="000000"/>
              </w:rPr>
              <w:t>SBFD slot configuration</w:t>
            </w:r>
          </w:p>
        </w:tc>
        <w:tc>
          <w:tcPr>
            <w:tcW w:w="2620" w:type="pct"/>
            <w:tcBorders>
              <w:top w:val="nil"/>
              <w:left w:val="nil"/>
              <w:bottom w:val="single" w:sz="4" w:space="0" w:color="auto"/>
              <w:right w:val="single" w:sz="4" w:space="0" w:color="auto"/>
            </w:tcBorders>
            <w:shd w:val="clear" w:color="000000" w:fill="F2F2F2"/>
          </w:tcPr>
          <w:p w14:paraId="75B5B6FD" w14:textId="77777777" w:rsidR="003C7447" w:rsidRPr="0038344D" w:rsidRDefault="003C7447" w:rsidP="00E31A1F">
            <w:pPr>
              <w:spacing w:after="0"/>
              <w:jc w:val="both"/>
              <w:rPr>
                <w:rFonts w:eastAsia="Times New Roman"/>
                <w:color w:val="000000"/>
              </w:rPr>
            </w:pPr>
            <w:r w:rsidRPr="0038344D">
              <w:rPr>
                <w:rFonts w:eastAsia="Times New Roman"/>
                <w:color w:val="000000"/>
              </w:rPr>
              <w:t>Legacy TDD: {DDDSU}, where S=[10D:2G:2U]</w:t>
            </w:r>
          </w:p>
          <w:p w14:paraId="573A051D" w14:textId="53AB8171" w:rsidR="003C7447" w:rsidRPr="0038344D" w:rsidRDefault="003C7447" w:rsidP="00E31A1F">
            <w:pPr>
              <w:spacing w:after="0"/>
              <w:jc w:val="both"/>
              <w:rPr>
                <w:rFonts w:eastAsia="Times New Roman"/>
                <w:color w:val="000000"/>
              </w:rPr>
            </w:pPr>
            <w:r w:rsidRPr="0038344D">
              <w:rPr>
                <w:rFonts w:eastAsia="Times New Roman"/>
                <w:color w:val="000000"/>
              </w:rPr>
              <w:t>SBFD: XXXXU</w:t>
            </w:r>
            <w:r w:rsidR="0066405C">
              <w:rPr>
                <w:rFonts w:eastAsia="Times New Roman"/>
                <w:color w:val="000000"/>
              </w:rPr>
              <w:t xml:space="preserve"> and DXXXU</w:t>
            </w:r>
          </w:p>
        </w:tc>
      </w:tr>
      <w:tr w:rsidR="003C7447" w:rsidRPr="0038344D" w14:paraId="536726F6" w14:textId="77777777" w:rsidTr="003C7447">
        <w:trPr>
          <w:trHeight w:val="260"/>
          <w:jc w:val="center"/>
        </w:trPr>
        <w:tc>
          <w:tcPr>
            <w:tcW w:w="1125" w:type="pct"/>
            <w:vMerge/>
            <w:tcBorders>
              <w:top w:val="nil"/>
              <w:left w:val="single" w:sz="4" w:space="0" w:color="auto"/>
              <w:bottom w:val="single" w:sz="4" w:space="0" w:color="auto"/>
              <w:right w:val="single" w:sz="4" w:space="0" w:color="auto"/>
            </w:tcBorders>
            <w:vAlign w:val="center"/>
            <w:hideMark/>
          </w:tcPr>
          <w:p w14:paraId="0E07A8E4"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56E6EDF2" w14:textId="77777777" w:rsidR="003C7447" w:rsidRPr="0038344D" w:rsidRDefault="003C7447" w:rsidP="00E31A1F">
            <w:pPr>
              <w:spacing w:after="0"/>
              <w:rPr>
                <w:rFonts w:eastAsia="Times New Roman"/>
                <w:color w:val="000000"/>
              </w:rPr>
            </w:pPr>
            <w:r w:rsidRPr="0038344D">
              <w:rPr>
                <w:rFonts w:eastAsia="Times New Roman"/>
                <w:color w:val="000000"/>
              </w:rPr>
              <w:t>SBFD Subband configuration</w:t>
            </w:r>
          </w:p>
        </w:tc>
        <w:tc>
          <w:tcPr>
            <w:tcW w:w="2620" w:type="pct"/>
            <w:tcBorders>
              <w:top w:val="nil"/>
              <w:left w:val="nil"/>
              <w:bottom w:val="single" w:sz="4" w:space="0" w:color="auto"/>
              <w:right w:val="single" w:sz="4" w:space="0" w:color="auto"/>
            </w:tcBorders>
            <w:shd w:val="clear" w:color="000000" w:fill="F2F2F2"/>
          </w:tcPr>
          <w:p w14:paraId="744342D0" w14:textId="77777777" w:rsidR="003C7447" w:rsidRPr="0038344D" w:rsidRDefault="003C7447" w:rsidP="00E31A1F">
            <w:pPr>
              <w:spacing w:after="0"/>
              <w:jc w:val="both"/>
              <w:rPr>
                <w:rFonts w:eastAsia="Times New Roman"/>
                <w:color w:val="000000"/>
              </w:rPr>
            </w:pPr>
            <w:r w:rsidRPr="0038344D">
              <w:rPr>
                <w:rFonts w:eastAsia="Times New Roman"/>
                <w:color w:val="000000"/>
              </w:rPr>
              <w:t>{DUD}: &lt; ND, NU, NG &gt; = &lt;104, 54, 5&gt;</w:t>
            </w:r>
          </w:p>
        </w:tc>
      </w:tr>
      <w:tr w:rsidR="003C7447" w:rsidRPr="0038344D" w14:paraId="1F95C5D3" w14:textId="77777777" w:rsidTr="003C7447">
        <w:trPr>
          <w:trHeight w:val="290"/>
          <w:jc w:val="center"/>
        </w:trPr>
        <w:tc>
          <w:tcPr>
            <w:tcW w:w="1125" w:type="pct"/>
            <w:vMerge/>
            <w:tcBorders>
              <w:top w:val="nil"/>
              <w:left w:val="single" w:sz="4" w:space="0" w:color="auto"/>
              <w:bottom w:val="single" w:sz="4" w:space="0" w:color="auto"/>
              <w:right w:val="single" w:sz="4" w:space="0" w:color="auto"/>
            </w:tcBorders>
            <w:vAlign w:val="center"/>
            <w:hideMark/>
          </w:tcPr>
          <w:p w14:paraId="374E9FE2"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5E5865E2" w14:textId="77777777" w:rsidR="003C7447" w:rsidRPr="0038344D" w:rsidRDefault="003C7447" w:rsidP="00E31A1F">
            <w:pPr>
              <w:spacing w:after="0"/>
              <w:jc w:val="both"/>
              <w:rPr>
                <w:rFonts w:eastAsia="Times New Roman"/>
                <w:color w:val="000000"/>
              </w:rPr>
            </w:pPr>
            <w:r w:rsidRPr="0038344D">
              <w:rPr>
                <w:rFonts w:eastAsia="Times New Roman"/>
                <w:color w:val="000000"/>
              </w:rPr>
              <w:t>Guard symbols</w:t>
            </w:r>
          </w:p>
        </w:tc>
        <w:tc>
          <w:tcPr>
            <w:tcW w:w="2620" w:type="pct"/>
            <w:tcBorders>
              <w:top w:val="nil"/>
              <w:left w:val="nil"/>
              <w:bottom w:val="single" w:sz="4" w:space="0" w:color="auto"/>
              <w:right w:val="single" w:sz="4" w:space="0" w:color="auto"/>
            </w:tcBorders>
            <w:shd w:val="clear" w:color="000000" w:fill="F2F2F2"/>
          </w:tcPr>
          <w:p w14:paraId="00498591" w14:textId="77777777" w:rsidR="003C7447" w:rsidRPr="0038344D" w:rsidRDefault="003C7447" w:rsidP="00E31A1F">
            <w:pPr>
              <w:spacing w:after="0"/>
              <w:jc w:val="both"/>
              <w:rPr>
                <w:rFonts w:eastAsia="Times New Roman"/>
                <w:color w:val="000000"/>
              </w:rPr>
            </w:pPr>
          </w:p>
        </w:tc>
      </w:tr>
      <w:tr w:rsidR="003C7447" w:rsidRPr="0038344D" w14:paraId="4C985963" w14:textId="77777777" w:rsidTr="003C7447">
        <w:trPr>
          <w:trHeight w:val="125"/>
          <w:jc w:val="center"/>
        </w:trPr>
        <w:tc>
          <w:tcPr>
            <w:tcW w:w="1125" w:type="pct"/>
            <w:vMerge w:val="restart"/>
            <w:tcBorders>
              <w:top w:val="nil"/>
              <w:left w:val="single" w:sz="4" w:space="0" w:color="auto"/>
              <w:bottom w:val="single" w:sz="4" w:space="0" w:color="auto"/>
              <w:right w:val="single" w:sz="4" w:space="0" w:color="auto"/>
            </w:tcBorders>
            <w:shd w:val="clear" w:color="000000" w:fill="F2F2F2"/>
            <w:vAlign w:val="center"/>
            <w:hideMark/>
          </w:tcPr>
          <w:p w14:paraId="4FD2E155" w14:textId="77777777" w:rsidR="003C7447" w:rsidRPr="0038344D" w:rsidRDefault="003C7447" w:rsidP="00E31A1F">
            <w:pPr>
              <w:spacing w:after="0"/>
              <w:rPr>
                <w:rFonts w:eastAsia="Times New Roman"/>
                <w:color w:val="000000"/>
              </w:rPr>
            </w:pPr>
            <w:r w:rsidRPr="0038344D">
              <w:rPr>
                <w:rFonts w:eastAsia="Times New Roman"/>
                <w:color w:val="000000"/>
              </w:rPr>
              <w:t xml:space="preserve">E. </w:t>
            </w:r>
            <w:proofErr w:type="spellStart"/>
            <w:r w:rsidRPr="0038344D">
              <w:rPr>
                <w:rFonts w:eastAsia="Times New Roman"/>
                <w:color w:val="000000"/>
              </w:rPr>
              <w:t>Tranmit</w:t>
            </w:r>
            <w:proofErr w:type="spellEnd"/>
            <w:r w:rsidRPr="0038344D">
              <w:rPr>
                <w:rFonts w:eastAsia="Times New Roman"/>
                <w:color w:val="000000"/>
              </w:rPr>
              <w:t xml:space="preserve"> power</w:t>
            </w:r>
          </w:p>
        </w:tc>
        <w:tc>
          <w:tcPr>
            <w:tcW w:w="1255" w:type="pct"/>
            <w:tcBorders>
              <w:top w:val="nil"/>
              <w:left w:val="nil"/>
              <w:bottom w:val="single" w:sz="4" w:space="0" w:color="auto"/>
              <w:right w:val="single" w:sz="4" w:space="0" w:color="auto"/>
            </w:tcBorders>
            <w:shd w:val="clear" w:color="000000" w:fill="F2F2F2"/>
            <w:vAlign w:val="center"/>
            <w:hideMark/>
          </w:tcPr>
          <w:p w14:paraId="681B4C26" w14:textId="77777777" w:rsidR="003C7447" w:rsidRPr="0038344D" w:rsidRDefault="003C7447" w:rsidP="00E31A1F">
            <w:pPr>
              <w:spacing w:after="0"/>
              <w:jc w:val="both"/>
              <w:rPr>
                <w:rFonts w:eastAsia="Times New Roman"/>
                <w:color w:val="000000"/>
              </w:rPr>
            </w:pPr>
            <w:r w:rsidRPr="0038344D">
              <w:rPr>
                <w:rFonts w:eastAsia="Times New Roman"/>
                <w:color w:val="000000"/>
              </w:rPr>
              <w:t>BS transmit power for legacy TDD</w:t>
            </w:r>
          </w:p>
        </w:tc>
        <w:tc>
          <w:tcPr>
            <w:tcW w:w="2620" w:type="pct"/>
            <w:tcBorders>
              <w:top w:val="nil"/>
              <w:left w:val="nil"/>
              <w:bottom w:val="single" w:sz="4" w:space="0" w:color="auto"/>
              <w:right w:val="single" w:sz="4" w:space="0" w:color="auto"/>
            </w:tcBorders>
            <w:shd w:val="clear" w:color="000000" w:fill="F2F2F2"/>
          </w:tcPr>
          <w:p w14:paraId="7A453893" w14:textId="77777777" w:rsidR="003C7447" w:rsidRPr="0038344D" w:rsidRDefault="003C7447" w:rsidP="00E31A1F">
            <w:pPr>
              <w:spacing w:after="0"/>
              <w:jc w:val="both"/>
              <w:rPr>
                <w:rFonts w:eastAsia="Times New Roman"/>
                <w:color w:val="000000"/>
              </w:rPr>
            </w:pPr>
            <w:r w:rsidRPr="0038344D">
              <w:rPr>
                <w:rFonts w:eastAsia="Times New Roman"/>
                <w:color w:val="000000"/>
              </w:rPr>
              <w:t>53 dBm for 100MHz</w:t>
            </w:r>
          </w:p>
        </w:tc>
      </w:tr>
      <w:tr w:rsidR="003C7447" w:rsidRPr="0038344D" w14:paraId="19EBE59E" w14:textId="77777777" w:rsidTr="003C7447">
        <w:trPr>
          <w:trHeight w:val="80"/>
          <w:jc w:val="center"/>
        </w:trPr>
        <w:tc>
          <w:tcPr>
            <w:tcW w:w="1125" w:type="pct"/>
            <w:vMerge/>
            <w:tcBorders>
              <w:top w:val="nil"/>
              <w:left w:val="single" w:sz="4" w:space="0" w:color="auto"/>
              <w:bottom w:val="single" w:sz="4" w:space="0" w:color="auto"/>
              <w:right w:val="single" w:sz="4" w:space="0" w:color="auto"/>
            </w:tcBorders>
            <w:vAlign w:val="center"/>
            <w:hideMark/>
          </w:tcPr>
          <w:p w14:paraId="0BA9F9B8"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12DDB7A7" w14:textId="77777777" w:rsidR="003C7447" w:rsidRPr="0038344D" w:rsidRDefault="003C7447" w:rsidP="00E31A1F">
            <w:pPr>
              <w:spacing w:after="0"/>
              <w:jc w:val="both"/>
              <w:rPr>
                <w:rFonts w:eastAsia="Times New Roman"/>
                <w:color w:val="000000"/>
              </w:rPr>
            </w:pPr>
            <w:r w:rsidRPr="0038344D">
              <w:rPr>
                <w:rFonts w:eastAsia="Times New Roman"/>
                <w:color w:val="000000"/>
              </w:rPr>
              <w:t>BS transmit power for SBFD</w:t>
            </w:r>
          </w:p>
        </w:tc>
        <w:tc>
          <w:tcPr>
            <w:tcW w:w="2620" w:type="pct"/>
            <w:tcBorders>
              <w:top w:val="nil"/>
              <w:left w:val="nil"/>
              <w:bottom w:val="single" w:sz="4" w:space="0" w:color="auto"/>
              <w:right w:val="single" w:sz="4" w:space="0" w:color="auto"/>
            </w:tcBorders>
            <w:shd w:val="clear" w:color="000000" w:fill="F2F2F2"/>
          </w:tcPr>
          <w:p w14:paraId="5EDB30CC" w14:textId="77777777" w:rsidR="003C7447" w:rsidRPr="0038344D" w:rsidRDefault="003C7447" w:rsidP="00E31A1F">
            <w:pPr>
              <w:spacing w:after="0"/>
              <w:jc w:val="both"/>
              <w:rPr>
                <w:rFonts w:eastAsia="Times New Roman"/>
                <w:color w:val="000000"/>
              </w:rPr>
            </w:pPr>
            <w:r w:rsidRPr="0038344D">
              <w:rPr>
                <w:rFonts w:eastAsia="Times New Roman"/>
                <w:color w:val="000000"/>
              </w:rPr>
              <w:t>Power boosting is not assumed for SBFD symbols compared to DL-only symbols (as in legacy systems)</w:t>
            </w:r>
          </w:p>
        </w:tc>
      </w:tr>
      <w:tr w:rsidR="003C7447" w:rsidRPr="0038344D" w14:paraId="464E2BAF" w14:textId="77777777" w:rsidTr="003C7447">
        <w:trPr>
          <w:trHeight w:val="290"/>
          <w:jc w:val="center"/>
        </w:trPr>
        <w:tc>
          <w:tcPr>
            <w:tcW w:w="1125" w:type="pct"/>
            <w:vMerge/>
            <w:tcBorders>
              <w:top w:val="nil"/>
              <w:left w:val="single" w:sz="4" w:space="0" w:color="auto"/>
              <w:bottom w:val="single" w:sz="4" w:space="0" w:color="auto"/>
              <w:right w:val="single" w:sz="4" w:space="0" w:color="auto"/>
            </w:tcBorders>
            <w:vAlign w:val="center"/>
            <w:hideMark/>
          </w:tcPr>
          <w:p w14:paraId="09D49A45"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3C2F0190" w14:textId="77777777" w:rsidR="003C7447" w:rsidRPr="0038344D" w:rsidRDefault="003C7447" w:rsidP="00E31A1F">
            <w:pPr>
              <w:spacing w:after="0"/>
              <w:jc w:val="both"/>
              <w:rPr>
                <w:rFonts w:eastAsia="Times New Roman"/>
                <w:color w:val="000000"/>
              </w:rPr>
            </w:pPr>
            <w:r w:rsidRPr="0038344D">
              <w:rPr>
                <w:rFonts w:eastAsia="Times New Roman"/>
                <w:color w:val="000000"/>
              </w:rPr>
              <w:t>UE Tx power</w:t>
            </w:r>
          </w:p>
        </w:tc>
        <w:tc>
          <w:tcPr>
            <w:tcW w:w="2620" w:type="pct"/>
            <w:tcBorders>
              <w:top w:val="nil"/>
              <w:left w:val="nil"/>
              <w:bottom w:val="single" w:sz="4" w:space="0" w:color="auto"/>
              <w:right w:val="single" w:sz="4" w:space="0" w:color="auto"/>
            </w:tcBorders>
            <w:shd w:val="clear" w:color="000000" w:fill="F2F2F2"/>
            <w:vAlign w:val="center"/>
          </w:tcPr>
          <w:p w14:paraId="725BC980" w14:textId="77777777" w:rsidR="003C7447" w:rsidRPr="0038344D" w:rsidRDefault="003C7447" w:rsidP="00E31A1F">
            <w:pPr>
              <w:spacing w:after="0"/>
              <w:jc w:val="both"/>
              <w:rPr>
                <w:rFonts w:eastAsia="Times New Roman"/>
                <w:color w:val="000000"/>
              </w:rPr>
            </w:pPr>
            <w:r w:rsidRPr="0038344D">
              <w:rPr>
                <w:color w:val="000000"/>
              </w:rPr>
              <w:t>23dBm</w:t>
            </w:r>
          </w:p>
        </w:tc>
      </w:tr>
      <w:tr w:rsidR="003C7447" w:rsidRPr="0038344D" w14:paraId="683FEC2B" w14:textId="77777777" w:rsidTr="003C7447">
        <w:trPr>
          <w:trHeight w:val="70"/>
          <w:jc w:val="center"/>
        </w:trPr>
        <w:tc>
          <w:tcPr>
            <w:tcW w:w="1125" w:type="pct"/>
            <w:vMerge w:val="restart"/>
            <w:tcBorders>
              <w:top w:val="nil"/>
              <w:left w:val="single" w:sz="4" w:space="0" w:color="auto"/>
              <w:bottom w:val="single" w:sz="4" w:space="0" w:color="auto"/>
              <w:right w:val="single" w:sz="4" w:space="0" w:color="auto"/>
            </w:tcBorders>
            <w:shd w:val="clear" w:color="000000" w:fill="F2F2F2"/>
            <w:vAlign w:val="center"/>
            <w:hideMark/>
          </w:tcPr>
          <w:p w14:paraId="3FEEBFE7" w14:textId="77777777" w:rsidR="003C7447" w:rsidRPr="0038344D" w:rsidRDefault="003C7447" w:rsidP="00E31A1F">
            <w:pPr>
              <w:spacing w:after="0"/>
              <w:rPr>
                <w:rFonts w:eastAsia="Times New Roman"/>
                <w:color w:val="000000"/>
              </w:rPr>
            </w:pPr>
            <w:r w:rsidRPr="0038344D">
              <w:rPr>
                <w:rFonts w:eastAsia="Times New Roman"/>
                <w:color w:val="000000"/>
              </w:rPr>
              <w:t>F. Antenna configurations</w:t>
            </w:r>
          </w:p>
        </w:tc>
        <w:tc>
          <w:tcPr>
            <w:tcW w:w="1255" w:type="pct"/>
            <w:tcBorders>
              <w:top w:val="nil"/>
              <w:left w:val="nil"/>
              <w:bottom w:val="single" w:sz="4" w:space="0" w:color="auto"/>
              <w:right w:val="single" w:sz="4" w:space="0" w:color="auto"/>
            </w:tcBorders>
            <w:shd w:val="clear" w:color="000000" w:fill="F2F2F2"/>
            <w:vAlign w:val="center"/>
            <w:hideMark/>
          </w:tcPr>
          <w:p w14:paraId="4544C6E7" w14:textId="77777777" w:rsidR="003C7447" w:rsidRPr="0038344D" w:rsidRDefault="003C7447" w:rsidP="00E31A1F">
            <w:pPr>
              <w:spacing w:after="0"/>
              <w:jc w:val="both"/>
              <w:rPr>
                <w:rFonts w:eastAsia="Times New Roman"/>
                <w:color w:val="000000"/>
              </w:rPr>
            </w:pPr>
            <w:r w:rsidRPr="0038344D">
              <w:rPr>
                <w:rFonts w:eastAsia="Times New Roman"/>
                <w:color w:val="000000"/>
              </w:rPr>
              <w:t>BS antenna configuration for legacy TDD</w:t>
            </w:r>
          </w:p>
        </w:tc>
        <w:tc>
          <w:tcPr>
            <w:tcW w:w="2620" w:type="pct"/>
            <w:tcBorders>
              <w:top w:val="nil"/>
              <w:left w:val="nil"/>
              <w:bottom w:val="single" w:sz="4" w:space="0" w:color="auto"/>
              <w:right w:val="single" w:sz="4" w:space="0" w:color="auto"/>
            </w:tcBorders>
            <w:shd w:val="clear" w:color="000000" w:fill="F2F2F2"/>
            <w:vAlign w:val="center"/>
          </w:tcPr>
          <w:p w14:paraId="7A8F586B" w14:textId="77777777" w:rsidR="003C7447" w:rsidRPr="0038344D" w:rsidRDefault="003C7447" w:rsidP="00E31A1F">
            <w:pPr>
              <w:spacing w:after="0"/>
              <w:jc w:val="both"/>
              <w:rPr>
                <w:rFonts w:eastAsia="Times New Roman"/>
                <w:color w:val="000000"/>
              </w:rPr>
            </w:pPr>
            <w:r w:rsidRPr="0038344D">
              <w:rPr>
                <w:color w:val="000000"/>
              </w:rPr>
              <w:t>(</w:t>
            </w:r>
            <w:proofErr w:type="spellStart"/>
            <w:proofErr w:type="gramStart"/>
            <w:r w:rsidRPr="0038344D">
              <w:rPr>
                <w:color w:val="000000"/>
              </w:rPr>
              <w:t>M,N</w:t>
            </w:r>
            <w:proofErr w:type="gramEnd"/>
            <w:r w:rsidRPr="0038344D">
              <w:rPr>
                <w:color w:val="000000"/>
              </w:rPr>
              <w:t>,P,M</w:t>
            </w:r>
            <w:r w:rsidRPr="0038344D">
              <w:rPr>
                <w:color w:val="000000"/>
                <w:vertAlign w:val="subscript"/>
              </w:rPr>
              <w:t>g</w:t>
            </w:r>
            <w:r w:rsidRPr="0038344D">
              <w:rPr>
                <w:color w:val="000000"/>
              </w:rPr>
              <w:t>,N</w:t>
            </w:r>
            <w:r w:rsidRPr="0038344D">
              <w:rPr>
                <w:color w:val="000000"/>
                <w:vertAlign w:val="subscript"/>
              </w:rPr>
              <w:t>g</w:t>
            </w:r>
            <w:r w:rsidRPr="0038344D">
              <w:rPr>
                <w:color w:val="000000"/>
              </w:rPr>
              <w:t>;M</w:t>
            </w:r>
            <w:r w:rsidRPr="0038344D">
              <w:rPr>
                <w:color w:val="000000"/>
                <w:vertAlign w:val="subscript"/>
              </w:rPr>
              <w:t>p</w:t>
            </w:r>
            <w:r w:rsidRPr="0038344D">
              <w:rPr>
                <w:color w:val="000000"/>
              </w:rPr>
              <w:t>,N</w:t>
            </w:r>
            <w:r w:rsidRPr="0038344D">
              <w:rPr>
                <w:color w:val="000000"/>
                <w:vertAlign w:val="subscript"/>
              </w:rPr>
              <w:t>p</w:t>
            </w:r>
            <w:proofErr w:type="spellEnd"/>
            <w:r w:rsidRPr="0038344D">
              <w:rPr>
                <w:color w:val="000000"/>
              </w:rPr>
              <w:t>)  = (8,8,2,1,1;2,8) , (</w:t>
            </w:r>
            <w:proofErr w:type="spellStart"/>
            <w:r w:rsidRPr="0038344D">
              <w:rPr>
                <w:color w:val="000000"/>
              </w:rPr>
              <w:t>dH,dV</w:t>
            </w:r>
            <w:proofErr w:type="spellEnd"/>
            <w:r w:rsidRPr="0038344D">
              <w:rPr>
                <w:color w:val="000000"/>
              </w:rPr>
              <w:t>) = (0.5, 0.8)λ,  +45°/-45° polarization</w:t>
            </w:r>
          </w:p>
        </w:tc>
      </w:tr>
      <w:tr w:rsidR="003C7447" w:rsidRPr="0038344D" w14:paraId="379EDC14" w14:textId="77777777" w:rsidTr="003C7447">
        <w:trPr>
          <w:trHeight w:val="70"/>
          <w:jc w:val="center"/>
        </w:trPr>
        <w:tc>
          <w:tcPr>
            <w:tcW w:w="1125" w:type="pct"/>
            <w:vMerge/>
            <w:tcBorders>
              <w:top w:val="nil"/>
              <w:left w:val="single" w:sz="4" w:space="0" w:color="auto"/>
              <w:bottom w:val="single" w:sz="4" w:space="0" w:color="auto"/>
              <w:right w:val="single" w:sz="4" w:space="0" w:color="auto"/>
            </w:tcBorders>
            <w:vAlign w:val="center"/>
            <w:hideMark/>
          </w:tcPr>
          <w:p w14:paraId="77540BA7"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6E50044B" w14:textId="77777777" w:rsidR="003C7447" w:rsidRPr="0038344D" w:rsidRDefault="003C7447" w:rsidP="00E31A1F">
            <w:pPr>
              <w:spacing w:after="0"/>
              <w:jc w:val="both"/>
              <w:rPr>
                <w:rFonts w:eastAsia="Times New Roman"/>
                <w:color w:val="000000"/>
              </w:rPr>
            </w:pPr>
            <w:r w:rsidRPr="0038344D">
              <w:rPr>
                <w:rFonts w:eastAsia="Times New Roman"/>
                <w:color w:val="000000"/>
              </w:rPr>
              <w:t>BS antenna configuration for SBFD</w:t>
            </w:r>
          </w:p>
        </w:tc>
        <w:tc>
          <w:tcPr>
            <w:tcW w:w="2620" w:type="pct"/>
            <w:tcBorders>
              <w:top w:val="nil"/>
              <w:left w:val="nil"/>
              <w:bottom w:val="single" w:sz="4" w:space="0" w:color="auto"/>
              <w:right w:val="single" w:sz="4" w:space="0" w:color="auto"/>
            </w:tcBorders>
            <w:shd w:val="clear" w:color="000000" w:fill="F2F2F2"/>
          </w:tcPr>
          <w:p w14:paraId="0EC1B08D" w14:textId="2D3D63AA" w:rsidR="003C7447" w:rsidRPr="0038344D" w:rsidRDefault="003C7447" w:rsidP="00E31A1F">
            <w:pPr>
              <w:spacing w:after="0"/>
              <w:jc w:val="both"/>
              <w:rPr>
                <w:rFonts w:eastAsia="Times New Roman"/>
                <w:color w:val="000000"/>
              </w:rPr>
            </w:pPr>
            <w:r w:rsidRPr="0038344D">
              <w:rPr>
                <w:rFonts w:eastAsia="Times New Roman"/>
                <w:color w:val="000000"/>
              </w:rPr>
              <w:t>Twice area</w:t>
            </w:r>
            <w:r w:rsidR="0066405C">
              <w:rPr>
                <w:rFonts w:eastAsia="Times New Roman"/>
                <w:color w:val="000000"/>
              </w:rPr>
              <w:t xml:space="preserve"> </w:t>
            </w:r>
            <w:r w:rsidRPr="0038344D">
              <w:rPr>
                <w:rFonts w:eastAsia="Times New Roman"/>
                <w:color w:val="000000"/>
              </w:rPr>
              <w:t>&amp;</w:t>
            </w:r>
            <w:r w:rsidR="0066405C">
              <w:rPr>
                <w:rFonts w:eastAsia="Times New Roman"/>
                <w:color w:val="000000"/>
              </w:rPr>
              <w:t xml:space="preserve"> </w:t>
            </w:r>
            <w:r w:rsidRPr="0038344D">
              <w:rPr>
                <w:rFonts w:eastAsia="Times New Roman"/>
                <w:color w:val="000000"/>
              </w:rPr>
              <w:t xml:space="preserve">same </w:t>
            </w:r>
            <w:proofErr w:type="spellStart"/>
            <w:r w:rsidRPr="0038344D">
              <w:rPr>
                <w:rFonts w:eastAsia="Times New Roman"/>
                <w:color w:val="000000"/>
              </w:rPr>
              <w:t>TxRUs</w:t>
            </w:r>
            <w:proofErr w:type="spellEnd"/>
            <w:r w:rsidRPr="0038344D">
              <w:rPr>
                <w:rFonts w:eastAsia="Times New Roman"/>
                <w:color w:val="000000"/>
              </w:rPr>
              <w:t xml:space="preserve"> (higher priority): SBFD antenna configuration Option 2</w:t>
            </w:r>
          </w:p>
        </w:tc>
      </w:tr>
      <w:tr w:rsidR="003C7447" w:rsidRPr="0038344D" w14:paraId="35FD64F6" w14:textId="77777777" w:rsidTr="003C7447">
        <w:trPr>
          <w:trHeight w:val="152"/>
          <w:jc w:val="center"/>
        </w:trPr>
        <w:tc>
          <w:tcPr>
            <w:tcW w:w="1125" w:type="pct"/>
            <w:vMerge/>
            <w:tcBorders>
              <w:top w:val="nil"/>
              <w:left w:val="single" w:sz="4" w:space="0" w:color="auto"/>
              <w:bottom w:val="single" w:sz="4" w:space="0" w:color="auto"/>
              <w:right w:val="single" w:sz="4" w:space="0" w:color="auto"/>
            </w:tcBorders>
            <w:vAlign w:val="center"/>
            <w:hideMark/>
          </w:tcPr>
          <w:p w14:paraId="646DB059"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5F13324D" w14:textId="77777777" w:rsidR="003C7447" w:rsidRPr="0038344D" w:rsidRDefault="003C7447" w:rsidP="00E31A1F">
            <w:pPr>
              <w:spacing w:after="0"/>
              <w:jc w:val="both"/>
              <w:rPr>
                <w:rFonts w:eastAsia="Times New Roman"/>
                <w:color w:val="000000"/>
              </w:rPr>
            </w:pPr>
            <w:r w:rsidRPr="0038344D">
              <w:rPr>
                <w:rFonts w:eastAsia="Times New Roman"/>
                <w:color w:val="000000"/>
              </w:rPr>
              <w:t>BS antenna radiation pattern</w:t>
            </w:r>
          </w:p>
        </w:tc>
        <w:tc>
          <w:tcPr>
            <w:tcW w:w="2620" w:type="pct"/>
            <w:tcBorders>
              <w:top w:val="nil"/>
              <w:left w:val="nil"/>
              <w:bottom w:val="single" w:sz="4" w:space="0" w:color="auto"/>
              <w:right w:val="single" w:sz="4" w:space="0" w:color="auto"/>
            </w:tcBorders>
            <w:shd w:val="clear" w:color="000000" w:fill="F2F2F2"/>
          </w:tcPr>
          <w:p w14:paraId="7E7DAA5B" w14:textId="77777777" w:rsidR="003C7447" w:rsidRPr="0038344D" w:rsidRDefault="003C7447" w:rsidP="00E31A1F">
            <w:pPr>
              <w:spacing w:after="0"/>
              <w:jc w:val="both"/>
              <w:rPr>
                <w:rFonts w:eastAsia="Times New Roman"/>
                <w:color w:val="000000"/>
              </w:rPr>
            </w:pPr>
            <w:r w:rsidRPr="0038344D">
              <w:rPr>
                <w:rFonts w:eastAsia="Times New Roman"/>
                <w:color w:val="000000"/>
              </w:rPr>
              <w:t>Table 9 in Report ITU-R M.2412</w:t>
            </w:r>
          </w:p>
        </w:tc>
      </w:tr>
      <w:tr w:rsidR="003C7447" w:rsidRPr="0038344D" w14:paraId="229AE233" w14:textId="77777777" w:rsidTr="003C7447">
        <w:trPr>
          <w:trHeight w:val="323"/>
          <w:jc w:val="center"/>
        </w:trPr>
        <w:tc>
          <w:tcPr>
            <w:tcW w:w="1125" w:type="pct"/>
            <w:vMerge/>
            <w:tcBorders>
              <w:top w:val="nil"/>
              <w:left w:val="single" w:sz="4" w:space="0" w:color="auto"/>
              <w:bottom w:val="single" w:sz="4" w:space="0" w:color="auto"/>
              <w:right w:val="single" w:sz="4" w:space="0" w:color="auto"/>
            </w:tcBorders>
            <w:vAlign w:val="center"/>
            <w:hideMark/>
          </w:tcPr>
          <w:p w14:paraId="55170D9A"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7071BDC9" w14:textId="77777777" w:rsidR="003C7447" w:rsidRPr="0038344D" w:rsidRDefault="003C7447" w:rsidP="00E31A1F">
            <w:pPr>
              <w:spacing w:after="0"/>
              <w:jc w:val="both"/>
              <w:rPr>
                <w:rFonts w:eastAsia="Times New Roman"/>
                <w:color w:val="000000"/>
              </w:rPr>
            </w:pPr>
            <w:r w:rsidRPr="0038344D">
              <w:rPr>
                <w:rFonts w:eastAsia="Times New Roman"/>
                <w:color w:val="000000"/>
              </w:rPr>
              <w:t>UE antenna configuration</w:t>
            </w:r>
          </w:p>
        </w:tc>
        <w:tc>
          <w:tcPr>
            <w:tcW w:w="2620" w:type="pct"/>
            <w:tcBorders>
              <w:top w:val="nil"/>
              <w:left w:val="nil"/>
              <w:bottom w:val="single" w:sz="4" w:space="0" w:color="auto"/>
              <w:right w:val="single" w:sz="4" w:space="0" w:color="auto"/>
            </w:tcBorders>
            <w:shd w:val="clear" w:color="000000" w:fill="F2F2F2"/>
          </w:tcPr>
          <w:p w14:paraId="568AB6FD" w14:textId="77777777" w:rsidR="003C7447" w:rsidRPr="0038344D" w:rsidRDefault="003C7447" w:rsidP="00E31A1F">
            <w:pPr>
              <w:spacing w:after="160" w:line="259" w:lineRule="auto"/>
              <w:jc w:val="both"/>
              <w:rPr>
                <w:rFonts w:eastAsiaTheme="minorEastAsia"/>
                <w:color w:val="000000"/>
              </w:rPr>
            </w:pPr>
            <w:r w:rsidRPr="0038344D">
              <w:rPr>
                <w:color w:val="000000"/>
              </w:rPr>
              <w:t>2Tx: (</w:t>
            </w:r>
            <w:proofErr w:type="spellStart"/>
            <w:proofErr w:type="gramStart"/>
            <w:r w:rsidRPr="0038344D">
              <w:rPr>
                <w:color w:val="000000"/>
              </w:rPr>
              <w:t>M,N</w:t>
            </w:r>
            <w:proofErr w:type="gramEnd"/>
            <w:r w:rsidRPr="0038344D">
              <w:rPr>
                <w:color w:val="000000"/>
              </w:rPr>
              <w:t>,P,M</w:t>
            </w:r>
            <w:r w:rsidRPr="0038344D">
              <w:rPr>
                <w:color w:val="000000"/>
                <w:vertAlign w:val="subscript"/>
              </w:rPr>
              <w:t>g</w:t>
            </w:r>
            <w:r w:rsidRPr="0038344D">
              <w:rPr>
                <w:color w:val="000000"/>
              </w:rPr>
              <w:t>,N</w:t>
            </w:r>
            <w:r w:rsidRPr="0038344D">
              <w:rPr>
                <w:color w:val="000000"/>
                <w:vertAlign w:val="subscript"/>
              </w:rPr>
              <w:t>g</w:t>
            </w:r>
            <w:r w:rsidRPr="0038344D">
              <w:rPr>
                <w:color w:val="000000"/>
              </w:rPr>
              <w:t>;M</w:t>
            </w:r>
            <w:r w:rsidRPr="0038344D">
              <w:rPr>
                <w:color w:val="000000"/>
                <w:vertAlign w:val="subscript"/>
              </w:rPr>
              <w:t>p</w:t>
            </w:r>
            <w:r w:rsidRPr="0038344D">
              <w:rPr>
                <w:color w:val="000000"/>
              </w:rPr>
              <w:t>,N</w:t>
            </w:r>
            <w:r w:rsidRPr="0038344D">
              <w:rPr>
                <w:color w:val="000000"/>
                <w:vertAlign w:val="subscript"/>
              </w:rPr>
              <w:t>p</w:t>
            </w:r>
            <w:proofErr w:type="spellEnd"/>
            <w:r w:rsidRPr="0038344D">
              <w:rPr>
                <w:color w:val="000000"/>
              </w:rPr>
              <w:t>) = (1,1,2,1,1;1,1), (</w:t>
            </w:r>
            <w:proofErr w:type="spellStart"/>
            <w:r w:rsidRPr="0038344D">
              <w:rPr>
                <w:color w:val="000000"/>
              </w:rPr>
              <w:t>d</w:t>
            </w:r>
            <w:r w:rsidRPr="0038344D">
              <w:rPr>
                <w:color w:val="000000"/>
                <w:vertAlign w:val="subscript"/>
              </w:rPr>
              <w:t>H</w:t>
            </w:r>
            <w:r w:rsidRPr="0038344D">
              <w:rPr>
                <w:color w:val="000000"/>
              </w:rPr>
              <w:t>,d</w:t>
            </w:r>
            <w:r w:rsidRPr="0038344D">
              <w:rPr>
                <w:color w:val="000000"/>
                <w:vertAlign w:val="subscript"/>
              </w:rPr>
              <w:t>V</w:t>
            </w:r>
            <w:proofErr w:type="spellEnd"/>
            <w:r w:rsidRPr="0038344D">
              <w:rPr>
                <w:color w:val="000000"/>
              </w:rPr>
              <w:t>) = (N/A, N/A)λ, 0°,90° polarization</w:t>
            </w:r>
            <w:r w:rsidRPr="0038344D">
              <w:rPr>
                <w:color w:val="000000"/>
              </w:rPr>
              <w:br/>
              <w:t>4Rx: (</w:t>
            </w:r>
            <w:proofErr w:type="spellStart"/>
            <w:r w:rsidRPr="0038344D">
              <w:rPr>
                <w:color w:val="000000"/>
              </w:rPr>
              <w:t>M,N,P,Mg,Ng;Mp,Np</w:t>
            </w:r>
            <w:proofErr w:type="spellEnd"/>
            <w:r w:rsidRPr="0038344D">
              <w:rPr>
                <w:color w:val="000000"/>
              </w:rPr>
              <w:t>) = (1,2,2,1,1;1,2), (</w:t>
            </w:r>
            <w:proofErr w:type="spellStart"/>
            <w:r w:rsidRPr="0038344D">
              <w:rPr>
                <w:color w:val="000000"/>
              </w:rPr>
              <w:t>dH,dV</w:t>
            </w:r>
            <w:proofErr w:type="spellEnd"/>
            <w:r w:rsidRPr="0038344D">
              <w:rPr>
                <w:color w:val="000000"/>
              </w:rPr>
              <w:t>) = (0.5, N/A)λ, 0°,90° polarization</w:t>
            </w:r>
          </w:p>
        </w:tc>
      </w:tr>
      <w:tr w:rsidR="003C7447" w:rsidRPr="0038344D" w14:paraId="715FE8A9" w14:textId="77777777" w:rsidTr="003C7447">
        <w:trPr>
          <w:trHeight w:val="323"/>
          <w:jc w:val="center"/>
        </w:trPr>
        <w:tc>
          <w:tcPr>
            <w:tcW w:w="1125" w:type="pct"/>
            <w:vMerge w:val="restart"/>
            <w:tcBorders>
              <w:top w:val="nil"/>
              <w:left w:val="single" w:sz="4" w:space="0" w:color="auto"/>
              <w:bottom w:val="single" w:sz="4" w:space="0" w:color="auto"/>
              <w:right w:val="single" w:sz="4" w:space="0" w:color="auto"/>
            </w:tcBorders>
            <w:shd w:val="clear" w:color="000000" w:fill="F2F2F2"/>
            <w:vAlign w:val="center"/>
            <w:hideMark/>
          </w:tcPr>
          <w:p w14:paraId="2AE493A6" w14:textId="77777777" w:rsidR="003C7447" w:rsidRPr="0038344D" w:rsidRDefault="003C7447" w:rsidP="00E31A1F">
            <w:pPr>
              <w:spacing w:after="0"/>
              <w:rPr>
                <w:rFonts w:eastAsia="Times New Roman"/>
                <w:color w:val="000000"/>
              </w:rPr>
            </w:pPr>
            <w:r w:rsidRPr="0038344D">
              <w:rPr>
                <w:rFonts w:eastAsia="Times New Roman"/>
                <w:color w:val="000000"/>
              </w:rPr>
              <w:t>G. Traffic model</w:t>
            </w:r>
          </w:p>
        </w:tc>
        <w:tc>
          <w:tcPr>
            <w:tcW w:w="1255" w:type="pct"/>
            <w:tcBorders>
              <w:top w:val="nil"/>
              <w:left w:val="nil"/>
              <w:bottom w:val="single" w:sz="4" w:space="0" w:color="auto"/>
              <w:right w:val="single" w:sz="4" w:space="0" w:color="auto"/>
            </w:tcBorders>
            <w:shd w:val="clear" w:color="000000" w:fill="F2F2F2"/>
            <w:vAlign w:val="center"/>
            <w:hideMark/>
          </w:tcPr>
          <w:p w14:paraId="1E0107F8" w14:textId="77777777" w:rsidR="003C7447" w:rsidRPr="0038344D" w:rsidRDefault="003C7447" w:rsidP="00E31A1F">
            <w:pPr>
              <w:spacing w:after="0"/>
              <w:jc w:val="both"/>
              <w:rPr>
                <w:rFonts w:eastAsia="Times New Roman"/>
                <w:color w:val="000000"/>
              </w:rPr>
            </w:pPr>
            <w:r w:rsidRPr="0038344D">
              <w:rPr>
                <w:rFonts w:eastAsia="Times New Roman"/>
                <w:color w:val="000000"/>
              </w:rPr>
              <w:t>DL/UL traffic assignment for the same UE</w:t>
            </w:r>
          </w:p>
        </w:tc>
        <w:tc>
          <w:tcPr>
            <w:tcW w:w="2620" w:type="pct"/>
            <w:tcBorders>
              <w:top w:val="nil"/>
              <w:left w:val="nil"/>
              <w:bottom w:val="single" w:sz="4" w:space="0" w:color="auto"/>
              <w:right w:val="single" w:sz="4" w:space="0" w:color="auto"/>
            </w:tcBorders>
            <w:shd w:val="clear" w:color="000000" w:fill="F2F2F2"/>
          </w:tcPr>
          <w:p w14:paraId="289B8592" w14:textId="77777777" w:rsidR="003C7447" w:rsidRPr="0038344D" w:rsidRDefault="003C7447" w:rsidP="00E31A1F">
            <w:pPr>
              <w:spacing w:after="0"/>
              <w:jc w:val="both"/>
              <w:rPr>
                <w:rFonts w:eastAsia="Times New Roman"/>
                <w:color w:val="000000"/>
              </w:rPr>
            </w:pPr>
            <w:r w:rsidRPr="0038344D">
              <w:rPr>
                <w:rFonts w:eastAsia="Times New Roman"/>
                <w:color w:val="000000"/>
              </w:rPr>
              <w:t>Option 2: Each UE is assigned both UL traffic and DL traffic</w:t>
            </w:r>
          </w:p>
        </w:tc>
      </w:tr>
      <w:tr w:rsidR="003C7447" w:rsidRPr="0038344D" w14:paraId="2DDA20F6" w14:textId="77777777" w:rsidTr="003C7447">
        <w:trPr>
          <w:trHeight w:val="70"/>
          <w:jc w:val="center"/>
        </w:trPr>
        <w:tc>
          <w:tcPr>
            <w:tcW w:w="1125" w:type="pct"/>
            <w:vMerge/>
            <w:tcBorders>
              <w:top w:val="nil"/>
              <w:left w:val="single" w:sz="4" w:space="0" w:color="auto"/>
              <w:bottom w:val="single" w:sz="4" w:space="0" w:color="auto"/>
              <w:right w:val="single" w:sz="4" w:space="0" w:color="auto"/>
            </w:tcBorders>
            <w:vAlign w:val="center"/>
            <w:hideMark/>
          </w:tcPr>
          <w:p w14:paraId="076D8532"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0F9B94ED" w14:textId="77777777" w:rsidR="003C7447" w:rsidRPr="0038344D" w:rsidRDefault="003C7447" w:rsidP="00E31A1F">
            <w:pPr>
              <w:spacing w:after="0"/>
              <w:jc w:val="both"/>
              <w:rPr>
                <w:rFonts w:eastAsia="Times New Roman"/>
                <w:color w:val="000000"/>
              </w:rPr>
            </w:pPr>
            <w:r w:rsidRPr="0038344D">
              <w:rPr>
                <w:rFonts w:eastAsia="Times New Roman"/>
                <w:color w:val="000000"/>
              </w:rPr>
              <w:t>DL/UL FTP packet size</w:t>
            </w:r>
          </w:p>
        </w:tc>
        <w:tc>
          <w:tcPr>
            <w:tcW w:w="2620" w:type="pct"/>
            <w:tcBorders>
              <w:top w:val="nil"/>
              <w:left w:val="nil"/>
              <w:bottom w:val="single" w:sz="4" w:space="0" w:color="auto"/>
              <w:right w:val="single" w:sz="4" w:space="0" w:color="auto"/>
            </w:tcBorders>
            <w:shd w:val="clear" w:color="000000" w:fill="F2F2F2"/>
          </w:tcPr>
          <w:p w14:paraId="5EACFFB1" w14:textId="77777777" w:rsidR="003C7447" w:rsidRPr="0038344D" w:rsidRDefault="003C7447" w:rsidP="00E31A1F">
            <w:pPr>
              <w:spacing w:after="0"/>
              <w:jc w:val="both"/>
              <w:rPr>
                <w:rFonts w:eastAsia="Times New Roman"/>
                <w:color w:val="000000"/>
              </w:rPr>
            </w:pPr>
            <w:r w:rsidRPr="0038344D">
              <w:rPr>
                <w:rFonts w:eastAsia="Times New Roman"/>
                <w:color w:val="000000"/>
              </w:rPr>
              <w:t>0.5Mbyte for DL and 0.125 Mbytes for UL</w:t>
            </w:r>
          </w:p>
        </w:tc>
      </w:tr>
      <w:tr w:rsidR="003C7447" w:rsidRPr="0038344D" w14:paraId="74A4342E" w14:textId="77777777" w:rsidTr="003C7447">
        <w:trPr>
          <w:trHeight w:val="332"/>
          <w:jc w:val="center"/>
        </w:trPr>
        <w:tc>
          <w:tcPr>
            <w:tcW w:w="1125" w:type="pct"/>
            <w:vMerge/>
            <w:tcBorders>
              <w:top w:val="nil"/>
              <w:left w:val="single" w:sz="4" w:space="0" w:color="auto"/>
              <w:bottom w:val="single" w:sz="4" w:space="0" w:color="auto"/>
              <w:right w:val="single" w:sz="4" w:space="0" w:color="auto"/>
            </w:tcBorders>
            <w:vAlign w:val="center"/>
            <w:hideMark/>
          </w:tcPr>
          <w:p w14:paraId="242F5A48"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47A738A0" w14:textId="77777777" w:rsidR="003C7447" w:rsidRPr="0038344D" w:rsidRDefault="003C7447" w:rsidP="00E31A1F">
            <w:pPr>
              <w:spacing w:after="0"/>
              <w:rPr>
                <w:rFonts w:eastAsia="Times New Roman"/>
                <w:color w:val="000000"/>
              </w:rPr>
            </w:pPr>
            <w:r w:rsidRPr="0038344D">
              <w:rPr>
                <w:rFonts w:eastAsia="Times New Roman"/>
                <w:color w:val="000000"/>
              </w:rPr>
              <w:t>DL/UL traffic load for legacy TDD</w:t>
            </w:r>
          </w:p>
        </w:tc>
        <w:tc>
          <w:tcPr>
            <w:tcW w:w="2620" w:type="pct"/>
            <w:tcBorders>
              <w:top w:val="nil"/>
              <w:left w:val="nil"/>
              <w:bottom w:val="single" w:sz="4" w:space="0" w:color="auto"/>
              <w:right w:val="single" w:sz="4" w:space="0" w:color="auto"/>
            </w:tcBorders>
            <w:shd w:val="clear" w:color="000000" w:fill="F2F2F2"/>
          </w:tcPr>
          <w:p w14:paraId="75341C00" w14:textId="77777777" w:rsidR="003C7447" w:rsidRPr="0038344D" w:rsidRDefault="003C7447" w:rsidP="00E31A1F">
            <w:pPr>
              <w:spacing w:after="0"/>
              <w:rPr>
                <w:rFonts w:eastAsia="Times New Roman"/>
                <w:color w:val="000000"/>
              </w:rPr>
            </w:pPr>
            <w:r w:rsidRPr="0038344D">
              <w:rPr>
                <w:rFonts w:eastAsia="Times New Roman"/>
                <w:color w:val="000000"/>
              </w:rPr>
              <w:t>Low load (Type-2 RU: &lt; 10%)</w:t>
            </w:r>
          </w:p>
          <w:p w14:paraId="6B232FF2" w14:textId="77777777" w:rsidR="003C7447" w:rsidRPr="0038344D" w:rsidRDefault="003C7447" w:rsidP="00E31A1F">
            <w:pPr>
              <w:spacing w:after="0"/>
              <w:rPr>
                <w:rFonts w:eastAsia="Times New Roman"/>
                <w:color w:val="000000"/>
              </w:rPr>
            </w:pPr>
            <w:r w:rsidRPr="0038344D">
              <w:rPr>
                <w:rFonts w:eastAsia="Times New Roman"/>
                <w:color w:val="000000"/>
              </w:rPr>
              <w:t>Medium load (Type-2 RU: 20%-40%)</w:t>
            </w:r>
          </w:p>
          <w:p w14:paraId="3FF3522C" w14:textId="77777777" w:rsidR="003C7447" w:rsidRPr="0038344D" w:rsidRDefault="003C7447" w:rsidP="00E31A1F">
            <w:pPr>
              <w:spacing w:after="0"/>
              <w:rPr>
                <w:rFonts w:eastAsia="Times New Roman"/>
                <w:color w:val="000000"/>
              </w:rPr>
            </w:pPr>
            <w:r w:rsidRPr="0038344D">
              <w:rPr>
                <w:rFonts w:eastAsia="Times New Roman"/>
                <w:color w:val="000000"/>
              </w:rPr>
              <w:t>High load (Type-2 RU: &gt;= 50%)</w:t>
            </w:r>
          </w:p>
        </w:tc>
      </w:tr>
      <w:tr w:rsidR="003C7447" w:rsidRPr="0038344D" w14:paraId="76453B78" w14:textId="77777777" w:rsidTr="003C7447">
        <w:trPr>
          <w:trHeight w:val="80"/>
          <w:jc w:val="center"/>
        </w:trPr>
        <w:tc>
          <w:tcPr>
            <w:tcW w:w="1125" w:type="pct"/>
            <w:vMerge w:val="restart"/>
            <w:tcBorders>
              <w:top w:val="nil"/>
              <w:left w:val="single" w:sz="4" w:space="0" w:color="auto"/>
              <w:bottom w:val="single" w:sz="4" w:space="0" w:color="auto"/>
              <w:right w:val="single" w:sz="4" w:space="0" w:color="auto"/>
            </w:tcBorders>
            <w:shd w:val="clear" w:color="000000" w:fill="F2F2F2"/>
            <w:vAlign w:val="center"/>
            <w:hideMark/>
          </w:tcPr>
          <w:p w14:paraId="5A72AC84" w14:textId="77777777" w:rsidR="003C7447" w:rsidRPr="0038344D" w:rsidRDefault="003C7447" w:rsidP="00E31A1F">
            <w:pPr>
              <w:spacing w:after="0"/>
              <w:rPr>
                <w:rFonts w:eastAsia="Times New Roman"/>
                <w:color w:val="000000"/>
              </w:rPr>
            </w:pPr>
            <w:r w:rsidRPr="0038344D">
              <w:rPr>
                <w:rFonts w:eastAsia="Times New Roman"/>
                <w:color w:val="000000"/>
              </w:rPr>
              <w:t>H. Channel model</w:t>
            </w:r>
          </w:p>
        </w:tc>
        <w:tc>
          <w:tcPr>
            <w:tcW w:w="1255" w:type="pct"/>
            <w:tcBorders>
              <w:top w:val="nil"/>
              <w:left w:val="nil"/>
              <w:bottom w:val="single" w:sz="4" w:space="0" w:color="auto"/>
              <w:right w:val="single" w:sz="4" w:space="0" w:color="auto"/>
            </w:tcBorders>
            <w:shd w:val="clear" w:color="000000" w:fill="F2F2F2"/>
            <w:vAlign w:val="center"/>
            <w:hideMark/>
          </w:tcPr>
          <w:p w14:paraId="7C511BB1" w14:textId="77777777" w:rsidR="003C7447" w:rsidRPr="0038344D" w:rsidRDefault="003C7447" w:rsidP="00E31A1F">
            <w:pPr>
              <w:spacing w:after="0"/>
              <w:jc w:val="both"/>
              <w:rPr>
                <w:rFonts w:eastAsia="Times New Roman"/>
                <w:color w:val="000000"/>
              </w:rPr>
            </w:pPr>
            <w:r w:rsidRPr="0038344D">
              <w:rPr>
                <w:rFonts w:eastAsia="Times New Roman"/>
                <w:color w:val="000000"/>
              </w:rPr>
              <w:t>gNB-UE</w:t>
            </w:r>
          </w:p>
        </w:tc>
        <w:tc>
          <w:tcPr>
            <w:tcW w:w="2620" w:type="pct"/>
            <w:tcBorders>
              <w:top w:val="nil"/>
              <w:left w:val="nil"/>
              <w:bottom w:val="single" w:sz="4" w:space="0" w:color="auto"/>
              <w:right w:val="single" w:sz="4" w:space="0" w:color="auto"/>
            </w:tcBorders>
            <w:shd w:val="clear" w:color="000000" w:fill="F2F2F2"/>
          </w:tcPr>
          <w:p w14:paraId="4EA04A0A" w14:textId="77777777" w:rsidR="003C7447" w:rsidRPr="0038344D" w:rsidRDefault="003C7447" w:rsidP="00E31A1F">
            <w:pPr>
              <w:spacing w:after="0"/>
              <w:jc w:val="both"/>
              <w:rPr>
                <w:rFonts w:eastAsia="Times New Roman"/>
                <w:color w:val="000000"/>
              </w:rPr>
            </w:pPr>
            <w:r w:rsidRPr="0038344D">
              <w:rPr>
                <w:rFonts w:eastAsia="Times New Roman"/>
                <w:color w:val="000000"/>
              </w:rPr>
              <w:t>Refer to Annex A.3 in TR 38.858</w:t>
            </w:r>
          </w:p>
        </w:tc>
      </w:tr>
      <w:tr w:rsidR="003C7447" w:rsidRPr="0038344D" w14:paraId="69F45F43" w14:textId="77777777" w:rsidTr="003C7447">
        <w:trPr>
          <w:trHeight w:val="197"/>
          <w:jc w:val="center"/>
        </w:trPr>
        <w:tc>
          <w:tcPr>
            <w:tcW w:w="1125" w:type="pct"/>
            <w:vMerge/>
            <w:tcBorders>
              <w:top w:val="nil"/>
              <w:left w:val="single" w:sz="4" w:space="0" w:color="auto"/>
              <w:bottom w:val="single" w:sz="4" w:space="0" w:color="auto"/>
              <w:right w:val="single" w:sz="4" w:space="0" w:color="auto"/>
            </w:tcBorders>
            <w:vAlign w:val="center"/>
            <w:hideMark/>
          </w:tcPr>
          <w:p w14:paraId="590762A1"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0B5F9408" w14:textId="77777777" w:rsidR="003C7447" w:rsidRPr="0038344D" w:rsidRDefault="003C7447" w:rsidP="00E31A1F">
            <w:pPr>
              <w:spacing w:after="0"/>
              <w:jc w:val="both"/>
              <w:rPr>
                <w:rFonts w:eastAsia="Times New Roman"/>
                <w:color w:val="000000"/>
              </w:rPr>
            </w:pPr>
            <w:r w:rsidRPr="0038344D">
              <w:rPr>
                <w:rFonts w:eastAsia="Times New Roman"/>
                <w:color w:val="000000"/>
              </w:rPr>
              <w:t>gNB-gNB</w:t>
            </w:r>
          </w:p>
        </w:tc>
        <w:tc>
          <w:tcPr>
            <w:tcW w:w="2620" w:type="pct"/>
            <w:tcBorders>
              <w:top w:val="nil"/>
              <w:left w:val="nil"/>
              <w:bottom w:val="single" w:sz="4" w:space="0" w:color="auto"/>
              <w:right w:val="single" w:sz="4" w:space="0" w:color="auto"/>
            </w:tcBorders>
            <w:shd w:val="clear" w:color="000000" w:fill="F2F2F2"/>
          </w:tcPr>
          <w:p w14:paraId="6CBEACB4" w14:textId="77777777" w:rsidR="003C7447" w:rsidRPr="0038344D" w:rsidRDefault="003C7447" w:rsidP="00E31A1F">
            <w:pPr>
              <w:spacing w:after="0"/>
              <w:jc w:val="both"/>
              <w:rPr>
                <w:rFonts w:eastAsia="Times New Roman"/>
                <w:color w:val="000000"/>
              </w:rPr>
            </w:pPr>
            <w:r w:rsidRPr="0038344D">
              <w:rPr>
                <w:rFonts w:eastAsia="Times New Roman"/>
                <w:color w:val="000000"/>
              </w:rPr>
              <w:t>Option2: Large scale fading only</w:t>
            </w:r>
          </w:p>
        </w:tc>
      </w:tr>
      <w:tr w:rsidR="003C7447" w:rsidRPr="0038344D" w14:paraId="3FEF67F9" w14:textId="77777777" w:rsidTr="003C7447">
        <w:trPr>
          <w:trHeight w:val="143"/>
          <w:jc w:val="center"/>
        </w:trPr>
        <w:tc>
          <w:tcPr>
            <w:tcW w:w="1125" w:type="pct"/>
            <w:vMerge/>
            <w:tcBorders>
              <w:top w:val="nil"/>
              <w:left w:val="single" w:sz="4" w:space="0" w:color="auto"/>
              <w:bottom w:val="single" w:sz="4" w:space="0" w:color="auto"/>
              <w:right w:val="single" w:sz="4" w:space="0" w:color="auto"/>
            </w:tcBorders>
            <w:vAlign w:val="center"/>
            <w:hideMark/>
          </w:tcPr>
          <w:p w14:paraId="5EF78081"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5809B5AB" w14:textId="77777777" w:rsidR="003C7447" w:rsidRPr="0038344D" w:rsidRDefault="003C7447" w:rsidP="00E31A1F">
            <w:pPr>
              <w:spacing w:after="0"/>
              <w:jc w:val="both"/>
              <w:rPr>
                <w:rFonts w:eastAsia="Times New Roman"/>
                <w:color w:val="000000"/>
              </w:rPr>
            </w:pPr>
            <w:r w:rsidRPr="0038344D">
              <w:rPr>
                <w:rFonts w:eastAsia="Times New Roman"/>
                <w:color w:val="000000"/>
              </w:rPr>
              <w:t>UE-UE</w:t>
            </w:r>
          </w:p>
        </w:tc>
        <w:tc>
          <w:tcPr>
            <w:tcW w:w="2620" w:type="pct"/>
            <w:tcBorders>
              <w:top w:val="nil"/>
              <w:left w:val="nil"/>
              <w:bottom w:val="single" w:sz="4" w:space="0" w:color="auto"/>
              <w:right w:val="single" w:sz="4" w:space="0" w:color="auto"/>
            </w:tcBorders>
            <w:shd w:val="clear" w:color="000000" w:fill="F2F2F2"/>
          </w:tcPr>
          <w:p w14:paraId="078B550A" w14:textId="77777777" w:rsidR="003C7447" w:rsidRPr="0038344D" w:rsidRDefault="003C7447" w:rsidP="00E31A1F">
            <w:pPr>
              <w:spacing w:after="0"/>
              <w:jc w:val="both"/>
              <w:rPr>
                <w:rFonts w:eastAsia="Times New Roman"/>
                <w:color w:val="000000"/>
              </w:rPr>
            </w:pPr>
            <w:r w:rsidRPr="0038344D">
              <w:rPr>
                <w:rFonts w:eastAsia="Times New Roman"/>
                <w:color w:val="000000"/>
              </w:rPr>
              <w:t>Refer to Annex A.3 in TR 38.858</w:t>
            </w:r>
          </w:p>
          <w:p w14:paraId="074A140A" w14:textId="77777777" w:rsidR="003C7447" w:rsidRPr="0038344D" w:rsidRDefault="003C7447" w:rsidP="00E31A1F">
            <w:pPr>
              <w:spacing w:after="0"/>
              <w:jc w:val="both"/>
              <w:rPr>
                <w:rFonts w:eastAsia="Times New Roman"/>
                <w:color w:val="000000"/>
              </w:rPr>
            </w:pPr>
            <w:r w:rsidRPr="0038344D">
              <w:rPr>
                <w:rFonts w:eastAsia="Times New Roman"/>
                <w:color w:val="000000"/>
              </w:rPr>
              <w:t>Option2:</w:t>
            </w:r>
            <w:r>
              <w:rPr>
                <w:rFonts w:eastAsia="Times New Roman"/>
                <w:color w:val="000000"/>
              </w:rPr>
              <w:t xml:space="preserve"> </w:t>
            </w:r>
            <w:r w:rsidRPr="0038344D">
              <w:rPr>
                <w:rFonts w:eastAsia="Times New Roman"/>
                <w:color w:val="000000"/>
              </w:rPr>
              <w:t>Large scale fading only</w:t>
            </w:r>
          </w:p>
        </w:tc>
      </w:tr>
      <w:tr w:rsidR="003C7447" w:rsidRPr="0038344D" w14:paraId="0256E006" w14:textId="77777777" w:rsidTr="003C7447">
        <w:trPr>
          <w:trHeight w:val="70"/>
          <w:jc w:val="center"/>
        </w:trPr>
        <w:tc>
          <w:tcPr>
            <w:tcW w:w="1125" w:type="pct"/>
            <w:vMerge/>
            <w:tcBorders>
              <w:top w:val="nil"/>
              <w:left w:val="single" w:sz="4" w:space="0" w:color="auto"/>
              <w:bottom w:val="single" w:sz="4" w:space="0" w:color="auto"/>
              <w:right w:val="single" w:sz="4" w:space="0" w:color="auto"/>
            </w:tcBorders>
            <w:vAlign w:val="center"/>
            <w:hideMark/>
          </w:tcPr>
          <w:p w14:paraId="5E7498F7"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3A1D2FF2" w14:textId="77777777" w:rsidR="003C7447" w:rsidRPr="0038344D" w:rsidRDefault="003C7447" w:rsidP="00E31A1F">
            <w:pPr>
              <w:spacing w:after="0"/>
              <w:jc w:val="both"/>
              <w:rPr>
                <w:rFonts w:eastAsia="Times New Roman"/>
                <w:color w:val="000000"/>
              </w:rPr>
            </w:pPr>
            <w:r w:rsidRPr="0038344D">
              <w:rPr>
                <w:rFonts w:eastAsia="Times New Roman"/>
                <w:color w:val="000000"/>
              </w:rPr>
              <w:t>UE-UE details</w:t>
            </w:r>
          </w:p>
        </w:tc>
        <w:tc>
          <w:tcPr>
            <w:tcW w:w="2620" w:type="pct"/>
            <w:tcBorders>
              <w:top w:val="nil"/>
              <w:left w:val="nil"/>
              <w:bottom w:val="single" w:sz="4" w:space="0" w:color="auto"/>
              <w:right w:val="single" w:sz="4" w:space="0" w:color="auto"/>
            </w:tcBorders>
            <w:shd w:val="clear" w:color="000000" w:fill="F2F2F2"/>
          </w:tcPr>
          <w:p w14:paraId="0CC52631" w14:textId="77777777" w:rsidR="003C7447" w:rsidRPr="0038344D" w:rsidRDefault="003C7447" w:rsidP="00E31A1F">
            <w:pPr>
              <w:spacing w:after="0"/>
              <w:jc w:val="both"/>
              <w:rPr>
                <w:rFonts w:eastAsia="Times New Roman"/>
                <w:color w:val="000000"/>
              </w:rPr>
            </w:pPr>
            <w:r w:rsidRPr="0038344D">
              <w:rPr>
                <w:rFonts w:eastAsia="Times New Roman"/>
                <w:color w:val="000000"/>
              </w:rPr>
              <w:t>TR 38.901</w:t>
            </w:r>
          </w:p>
        </w:tc>
      </w:tr>
      <w:tr w:rsidR="003C7447" w:rsidRPr="0038344D" w14:paraId="4705722B" w14:textId="77777777" w:rsidTr="003C7447">
        <w:trPr>
          <w:trHeight w:val="70"/>
          <w:jc w:val="center"/>
        </w:trPr>
        <w:tc>
          <w:tcPr>
            <w:tcW w:w="1125" w:type="pct"/>
            <w:vMerge w:val="restart"/>
            <w:tcBorders>
              <w:top w:val="nil"/>
              <w:left w:val="single" w:sz="4" w:space="0" w:color="auto"/>
              <w:bottom w:val="single" w:sz="4" w:space="0" w:color="000000"/>
              <w:right w:val="single" w:sz="4" w:space="0" w:color="auto"/>
            </w:tcBorders>
            <w:shd w:val="clear" w:color="000000" w:fill="F2F2F2"/>
            <w:vAlign w:val="center"/>
            <w:hideMark/>
          </w:tcPr>
          <w:p w14:paraId="59DCFED3" w14:textId="77777777" w:rsidR="003C7447" w:rsidRPr="0038344D" w:rsidRDefault="003C7447" w:rsidP="00E31A1F">
            <w:pPr>
              <w:spacing w:after="0"/>
              <w:rPr>
                <w:rFonts w:eastAsia="Times New Roman"/>
                <w:color w:val="000000"/>
              </w:rPr>
            </w:pPr>
            <w:r w:rsidRPr="0038344D">
              <w:rPr>
                <w:rFonts w:eastAsia="Times New Roman"/>
                <w:color w:val="000000"/>
              </w:rPr>
              <w:t>I. Others</w:t>
            </w:r>
          </w:p>
        </w:tc>
        <w:tc>
          <w:tcPr>
            <w:tcW w:w="1255" w:type="pct"/>
            <w:tcBorders>
              <w:top w:val="nil"/>
              <w:left w:val="nil"/>
              <w:bottom w:val="single" w:sz="4" w:space="0" w:color="auto"/>
              <w:right w:val="single" w:sz="4" w:space="0" w:color="auto"/>
            </w:tcBorders>
            <w:shd w:val="clear" w:color="000000" w:fill="F2F2F2"/>
            <w:vAlign w:val="center"/>
            <w:hideMark/>
          </w:tcPr>
          <w:p w14:paraId="0E28CAC9" w14:textId="77777777" w:rsidR="003C7447" w:rsidRPr="0038344D" w:rsidRDefault="003C7447" w:rsidP="00E31A1F">
            <w:pPr>
              <w:spacing w:after="0"/>
              <w:jc w:val="both"/>
              <w:rPr>
                <w:rFonts w:eastAsia="Times New Roman"/>
                <w:color w:val="000000"/>
              </w:rPr>
            </w:pPr>
            <w:r w:rsidRPr="0038344D">
              <w:rPr>
                <w:rFonts w:eastAsia="Times New Roman"/>
                <w:color w:val="000000"/>
              </w:rPr>
              <w:t>BS receiver noise figure</w:t>
            </w:r>
          </w:p>
        </w:tc>
        <w:tc>
          <w:tcPr>
            <w:tcW w:w="2620" w:type="pct"/>
            <w:tcBorders>
              <w:top w:val="nil"/>
              <w:left w:val="nil"/>
              <w:bottom w:val="single" w:sz="4" w:space="0" w:color="auto"/>
              <w:right w:val="single" w:sz="4" w:space="0" w:color="auto"/>
            </w:tcBorders>
            <w:shd w:val="clear" w:color="000000" w:fill="F2F2F2"/>
            <w:vAlign w:val="center"/>
          </w:tcPr>
          <w:p w14:paraId="4DF83B3D" w14:textId="77777777" w:rsidR="003C7447" w:rsidRPr="0038344D" w:rsidRDefault="003C7447" w:rsidP="00E31A1F">
            <w:pPr>
              <w:spacing w:after="0"/>
              <w:jc w:val="both"/>
              <w:rPr>
                <w:rFonts w:eastAsia="Times New Roman"/>
                <w:color w:val="000000"/>
              </w:rPr>
            </w:pPr>
            <w:r w:rsidRPr="0038344D">
              <w:rPr>
                <w:color w:val="000000"/>
              </w:rPr>
              <w:t>5dB</w:t>
            </w:r>
          </w:p>
        </w:tc>
      </w:tr>
      <w:tr w:rsidR="003C7447" w:rsidRPr="0038344D" w14:paraId="33F75829" w14:textId="77777777" w:rsidTr="003C7447">
        <w:trPr>
          <w:trHeight w:val="98"/>
          <w:jc w:val="center"/>
        </w:trPr>
        <w:tc>
          <w:tcPr>
            <w:tcW w:w="1125" w:type="pct"/>
            <w:vMerge/>
            <w:tcBorders>
              <w:top w:val="nil"/>
              <w:left w:val="single" w:sz="4" w:space="0" w:color="auto"/>
              <w:bottom w:val="single" w:sz="4" w:space="0" w:color="000000"/>
              <w:right w:val="single" w:sz="4" w:space="0" w:color="auto"/>
            </w:tcBorders>
            <w:vAlign w:val="center"/>
            <w:hideMark/>
          </w:tcPr>
          <w:p w14:paraId="36F9C1C0"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268AAC55" w14:textId="77777777" w:rsidR="003C7447" w:rsidRPr="0038344D" w:rsidRDefault="003C7447" w:rsidP="00E31A1F">
            <w:pPr>
              <w:spacing w:after="0"/>
              <w:jc w:val="both"/>
              <w:rPr>
                <w:rFonts w:eastAsia="Times New Roman"/>
                <w:color w:val="000000"/>
              </w:rPr>
            </w:pPr>
            <w:r w:rsidRPr="0038344D">
              <w:rPr>
                <w:rFonts w:eastAsia="Times New Roman"/>
                <w:color w:val="000000"/>
              </w:rPr>
              <w:t>UE receiver noise figure</w:t>
            </w:r>
          </w:p>
        </w:tc>
        <w:tc>
          <w:tcPr>
            <w:tcW w:w="2620" w:type="pct"/>
            <w:tcBorders>
              <w:top w:val="nil"/>
              <w:left w:val="nil"/>
              <w:bottom w:val="single" w:sz="4" w:space="0" w:color="auto"/>
              <w:right w:val="single" w:sz="4" w:space="0" w:color="auto"/>
            </w:tcBorders>
            <w:shd w:val="clear" w:color="000000" w:fill="F2F2F2"/>
            <w:vAlign w:val="center"/>
          </w:tcPr>
          <w:p w14:paraId="3101FA98" w14:textId="77777777" w:rsidR="003C7447" w:rsidRPr="0038344D" w:rsidRDefault="003C7447" w:rsidP="00E31A1F">
            <w:pPr>
              <w:spacing w:after="0"/>
              <w:jc w:val="both"/>
              <w:rPr>
                <w:rFonts w:eastAsia="Times New Roman"/>
                <w:color w:val="000000"/>
              </w:rPr>
            </w:pPr>
            <w:r w:rsidRPr="0038344D">
              <w:rPr>
                <w:color w:val="000000"/>
              </w:rPr>
              <w:t>9 dB</w:t>
            </w:r>
          </w:p>
        </w:tc>
      </w:tr>
      <w:tr w:rsidR="003C7447" w:rsidRPr="0038344D" w14:paraId="2276417A" w14:textId="77777777" w:rsidTr="003C7447">
        <w:trPr>
          <w:trHeight w:val="215"/>
          <w:jc w:val="center"/>
        </w:trPr>
        <w:tc>
          <w:tcPr>
            <w:tcW w:w="1125" w:type="pct"/>
            <w:vMerge/>
            <w:tcBorders>
              <w:top w:val="nil"/>
              <w:left w:val="single" w:sz="4" w:space="0" w:color="auto"/>
              <w:bottom w:val="single" w:sz="4" w:space="0" w:color="000000"/>
              <w:right w:val="single" w:sz="4" w:space="0" w:color="auto"/>
            </w:tcBorders>
            <w:vAlign w:val="center"/>
            <w:hideMark/>
          </w:tcPr>
          <w:p w14:paraId="32FDE68D"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518277E7" w14:textId="77777777" w:rsidR="003C7447" w:rsidRPr="0038344D" w:rsidRDefault="003C7447" w:rsidP="00E31A1F">
            <w:pPr>
              <w:spacing w:after="0"/>
              <w:jc w:val="both"/>
              <w:rPr>
                <w:rFonts w:eastAsia="Times New Roman"/>
                <w:color w:val="000000"/>
              </w:rPr>
            </w:pPr>
            <w:r w:rsidRPr="0038344D">
              <w:rPr>
                <w:rFonts w:eastAsia="Times New Roman"/>
                <w:color w:val="000000"/>
              </w:rPr>
              <w:t>Open loop power control parameters</w:t>
            </w:r>
          </w:p>
        </w:tc>
        <w:tc>
          <w:tcPr>
            <w:tcW w:w="2620" w:type="pct"/>
            <w:tcBorders>
              <w:top w:val="nil"/>
              <w:left w:val="nil"/>
              <w:bottom w:val="single" w:sz="4" w:space="0" w:color="auto"/>
              <w:right w:val="single" w:sz="4" w:space="0" w:color="auto"/>
            </w:tcBorders>
            <w:shd w:val="clear" w:color="000000" w:fill="F2F2F2"/>
            <w:vAlign w:val="center"/>
          </w:tcPr>
          <w:p w14:paraId="153EBA1A" w14:textId="77777777" w:rsidR="003C7447" w:rsidRPr="0038344D" w:rsidRDefault="003C7447" w:rsidP="00E31A1F">
            <w:pPr>
              <w:spacing w:after="0"/>
              <w:jc w:val="both"/>
              <w:rPr>
                <w:rFonts w:eastAsia="Times New Roman"/>
                <w:color w:val="000000"/>
              </w:rPr>
            </w:pPr>
            <w:r w:rsidRPr="0038344D">
              <w:rPr>
                <w:color w:val="000000"/>
              </w:rPr>
              <w:t xml:space="preserve">P0= -80 dBm, alpha = 0.8 </w:t>
            </w:r>
          </w:p>
        </w:tc>
      </w:tr>
      <w:tr w:rsidR="003C7447" w:rsidRPr="0038344D" w14:paraId="0CAF8784" w14:textId="77777777" w:rsidTr="003C7447">
        <w:trPr>
          <w:trHeight w:val="107"/>
          <w:jc w:val="center"/>
        </w:trPr>
        <w:tc>
          <w:tcPr>
            <w:tcW w:w="1125" w:type="pct"/>
            <w:vMerge/>
            <w:tcBorders>
              <w:top w:val="nil"/>
              <w:left w:val="single" w:sz="4" w:space="0" w:color="auto"/>
              <w:bottom w:val="single" w:sz="4" w:space="0" w:color="000000"/>
              <w:right w:val="single" w:sz="4" w:space="0" w:color="auto"/>
            </w:tcBorders>
            <w:vAlign w:val="center"/>
            <w:hideMark/>
          </w:tcPr>
          <w:p w14:paraId="2DBAAA7B"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6D2AFD42" w14:textId="77777777" w:rsidR="003C7447" w:rsidRPr="0038344D" w:rsidRDefault="003C7447" w:rsidP="00E31A1F">
            <w:pPr>
              <w:spacing w:after="0"/>
              <w:jc w:val="both"/>
              <w:rPr>
                <w:rFonts w:eastAsia="Times New Roman"/>
                <w:color w:val="000000"/>
              </w:rPr>
            </w:pPr>
            <w:r w:rsidRPr="0038344D">
              <w:rPr>
                <w:rFonts w:eastAsia="Times New Roman"/>
                <w:color w:val="000000"/>
              </w:rPr>
              <w:t>UE receiver</w:t>
            </w:r>
          </w:p>
        </w:tc>
        <w:tc>
          <w:tcPr>
            <w:tcW w:w="2620" w:type="pct"/>
            <w:tcBorders>
              <w:top w:val="nil"/>
              <w:left w:val="nil"/>
              <w:bottom w:val="single" w:sz="4" w:space="0" w:color="auto"/>
              <w:right w:val="single" w:sz="4" w:space="0" w:color="auto"/>
            </w:tcBorders>
            <w:shd w:val="clear" w:color="000000" w:fill="F2F2F2"/>
            <w:vAlign w:val="center"/>
          </w:tcPr>
          <w:p w14:paraId="2542BF3F" w14:textId="77777777" w:rsidR="003C7447" w:rsidRPr="0038344D" w:rsidRDefault="003C7447" w:rsidP="00E31A1F">
            <w:pPr>
              <w:spacing w:after="0"/>
              <w:jc w:val="both"/>
              <w:rPr>
                <w:rFonts w:eastAsia="Times New Roman"/>
                <w:color w:val="000000"/>
              </w:rPr>
            </w:pPr>
            <w:r w:rsidRPr="0038344D">
              <w:rPr>
                <w:color w:val="000000"/>
              </w:rPr>
              <w:t>MMSE-IRC</w:t>
            </w:r>
          </w:p>
        </w:tc>
      </w:tr>
      <w:tr w:rsidR="003C7447" w:rsidRPr="0038344D" w14:paraId="7A79EB5C" w14:textId="77777777" w:rsidTr="003C7447">
        <w:trPr>
          <w:trHeight w:val="70"/>
          <w:jc w:val="center"/>
        </w:trPr>
        <w:tc>
          <w:tcPr>
            <w:tcW w:w="1125" w:type="pct"/>
            <w:vMerge/>
            <w:tcBorders>
              <w:top w:val="nil"/>
              <w:left w:val="single" w:sz="4" w:space="0" w:color="auto"/>
              <w:bottom w:val="single" w:sz="4" w:space="0" w:color="000000"/>
              <w:right w:val="single" w:sz="4" w:space="0" w:color="auto"/>
            </w:tcBorders>
            <w:vAlign w:val="center"/>
            <w:hideMark/>
          </w:tcPr>
          <w:p w14:paraId="44EE8C33"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0E8551AE" w14:textId="77777777" w:rsidR="003C7447" w:rsidRPr="0038344D" w:rsidRDefault="003C7447" w:rsidP="00E31A1F">
            <w:pPr>
              <w:spacing w:after="0"/>
              <w:jc w:val="both"/>
              <w:rPr>
                <w:rFonts w:eastAsia="Times New Roman"/>
                <w:color w:val="000000"/>
              </w:rPr>
            </w:pPr>
            <w:r w:rsidRPr="0038344D">
              <w:rPr>
                <w:rFonts w:eastAsia="Times New Roman"/>
                <w:color w:val="000000"/>
              </w:rPr>
              <w:t>Feedback assumption</w:t>
            </w:r>
          </w:p>
        </w:tc>
        <w:tc>
          <w:tcPr>
            <w:tcW w:w="2620" w:type="pct"/>
            <w:tcBorders>
              <w:top w:val="nil"/>
              <w:left w:val="nil"/>
              <w:bottom w:val="single" w:sz="4" w:space="0" w:color="auto"/>
              <w:right w:val="single" w:sz="4" w:space="0" w:color="auto"/>
            </w:tcBorders>
            <w:shd w:val="clear" w:color="000000" w:fill="F2F2F2"/>
            <w:vAlign w:val="center"/>
          </w:tcPr>
          <w:p w14:paraId="2B9B28D3" w14:textId="77777777" w:rsidR="003C7447" w:rsidRPr="0038344D" w:rsidRDefault="003C7447" w:rsidP="00E31A1F">
            <w:pPr>
              <w:spacing w:after="0"/>
              <w:jc w:val="both"/>
              <w:rPr>
                <w:rFonts w:eastAsia="Times New Roman"/>
                <w:color w:val="000000"/>
              </w:rPr>
            </w:pPr>
            <w:r w:rsidRPr="0038344D">
              <w:rPr>
                <w:color w:val="000000"/>
              </w:rPr>
              <w:t>Realistic</w:t>
            </w:r>
          </w:p>
        </w:tc>
      </w:tr>
      <w:tr w:rsidR="003C7447" w:rsidRPr="0038344D" w14:paraId="05B429A9" w14:textId="77777777" w:rsidTr="003C7447">
        <w:trPr>
          <w:trHeight w:val="260"/>
          <w:jc w:val="center"/>
        </w:trPr>
        <w:tc>
          <w:tcPr>
            <w:tcW w:w="1125" w:type="pct"/>
            <w:vMerge/>
            <w:tcBorders>
              <w:top w:val="nil"/>
              <w:left w:val="single" w:sz="4" w:space="0" w:color="auto"/>
              <w:bottom w:val="single" w:sz="4" w:space="0" w:color="000000"/>
              <w:right w:val="single" w:sz="4" w:space="0" w:color="auto"/>
            </w:tcBorders>
            <w:vAlign w:val="center"/>
            <w:hideMark/>
          </w:tcPr>
          <w:p w14:paraId="324717EB"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6C6D50A2" w14:textId="77777777" w:rsidR="003C7447" w:rsidRPr="0038344D" w:rsidRDefault="003C7447" w:rsidP="00E31A1F">
            <w:pPr>
              <w:spacing w:after="0"/>
              <w:jc w:val="both"/>
              <w:rPr>
                <w:rFonts w:eastAsia="Times New Roman"/>
                <w:color w:val="000000"/>
              </w:rPr>
            </w:pPr>
            <w:r w:rsidRPr="0038344D">
              <w:rPr>
                <w:rFonts w:eastAsia="Times New Roman"/>
                <w:color w:val="000000"/>
              </w:rPr>
              <w:t>Channel estimation</w:t>
            </w:r>
          </w:p>
        </w:tc>
        <w:tc>
          <w:tcPr>
            <w:tcW w:w="2620" w:type="pct"/>
            <w:tcBorders>
              <w:top w:val="nil"/>
              <w:left w:val="nil"/>
              <w:bottom w:val="single" w:sz="4" w:space="0" w:color="auto"/>
              <w:right w:val="single" w:sz="4" w:space="0" w:color="auto"/>
            </w:tcBorders>
            <w:shd w:val="clear" w:color="000000" w:fill="F2F2F2"/>
            <w:vAlign w:val="center"/>
          </w:tcPr>
          <w:p w14:paraId="38BB54E2" w14:textId="77777777" w:rsidR="003C7447" w:rsidRPr="0038344D" w:rsidRDefault="003C7447" w:rsidP="00E31A1F">
            <w:pPr>
              <w:spacing w:after="0"/>
              <w:jc w:val="both"/>
              <w:rPr>
                <w:rFonts w:eastAsia="Times New Roman"/>
                <w:color w:val="000000"/>
              </w:rPr>
            </w:pPr>
            <w:r w:rsidRPr="0038344D">
              <w:rPr>
                <w:color w:val="000000"/>
              </w:rPr>
              <w:t>Ideal</w:t>
            </w:r>
          </w:p>
        </w:tc>
      </w:tr>
      <w:tr w:rsidR="003C7447" w:rsidRPr="0038344D" w14:paraId="09ECCF4B" w14:textId="77777777" w:rsidTr="003C7447">
        <w:trPr>
          <w:trHeight w:val="80"/>
          <w:jc w:val="center"/>
        </w:trPr>
        <w:tc>
          <w:tcPr>
            <w:tcW w:w="1125" w:type="pct"/>
            <w:vMerge/>
            <w:tcBorders>
              <w:top w:val="nil"/>
              <w:left w:val="single" w:sz="4" w:space="0" w:color="auto"/>
              <w:bottom w:val="single" w:sz="4" w:space="0" w:color="000000"/>
              <w:right w:val="single" w:sz="4" w:space="0" w:color="auto"/>
            </w:tcBorders>
            <w:vAlign w:val="center"/>
            <w:hideMark/>
          </w:tcPr>
          <w:p w14:paraId="6BAEFDC7"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334A9CC7" w14:textId="77777777" w:rsidR="003C7447" w:rsidRPr="0038344D" w:rsidRDefault="003C7447" w:rsidP="00E31A1F">
            <w:pPr>
              <w:spacing w:after="0"/>
              <w:jc w:val="both"/>
              <w:rPr>
                <w:rFonts w:eastAsia="Times New Roman"/>
                <w:color w:val="000000"/>
              </w:rPr>
            </w:pPr>
            <w:r w:rsidRPr="0038344D">
              <w:rPr>
                <w:rFonts w:eastAsia="Times New Roman"/>
                <w:color w:val="000000"/>
              </w:rPr>
              <w:t>UE processing capability</w:t>
            </w:r>
          </w:p>
        </w:tc>
        <w:tc>
          <w:tcPr>
            <w:tcW w:w="2620" w:type="pct"/>
            <w:tcBorders>
              <w:top w:val="nil"/>
              <w:left w:val="nil"/>
              <w:bottom w:val="single" w:sz="4" w:space="0" w:color="auto"/>
              <w:right w:val="single" w:sz="4" w:space="0" w:color="auto"/>
            </w:tcBorders>
            <w:shd w:val="clear" w:color="000000" w:fill="F2F2F2"/>
            <w:vAlign w:val="center"/>
          </w:tcPr>
          <w:p w14:paraId="506D3DE8" w14:textId="77777777" w:rsidR="003C7447" w:rsidRPr="0038344D" w:rsidRDefault="003C7447" w:rsidP="00E31A1F">
            <w:pPr>
              <w:spacing w:after="0"/>
              <w:jc w:val="both"/>
              <w:rPr>
                <w:rFonts w:eastAsia="Times New Roman"/>
                <w:color w:val="000000"/>
              </w:rPr>
            </w:pPr>
            <w:r w:rsidRPr="0038344D">
              <w:rPr>
                <w:color w:val="000000"/>
              </w:rPr>
              <w:t>UE processing capability 1 as baseline</w:t>
            </w:r>
          </w:p>
        </w:tc>
      </w:tr>
      <w:tr w:rsidR="003C7447" w:rsidRPr="0038344D" w14:paraId="2C9C0B3A" w14:textId="77777777" w:rsidTr="003C7447">
        <w:trPr>
          <w:trHeight w:val="107"/>
          <w:jc w:val="center"/>
        </w:trPr>
        <w:tc>
          <w:tcPr>
            <w:tcW w:w="1125" w:type="pct"/>
            <w:vMerge/>
            <w:tcBorders>
              <w:top w:val="nil"/>
              <w:left w:val="single" w:sz="4" w:space="0" w:color="auto"/>
              <w:bottom w:val="single" w:sz="4" w:space="0" w:color="000000"/>
              <w:right w:val="single" w:sz="4" w:space="0" w:color="auto"/>
            </w:tcBorders>
            <w:vAlign w:val="center"/>
            <w:hideMark/>
          </w:tcPr>
          <w:p w14:paraId="5CD913D6"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0EDADD4D" w14:textId="77777777" w:rsidR="003C7447" w:rsidRPr="0038344D" w:rsidRDefault="003C7447" w:rsidP="00E31A1F">
            <w:pPr>
              <w:spacing w:after="0"/>
              <w:jc w:val="both"/>
              <w:rPr>
                <w:rFonts w:eastAsia="Times New Roman"/>
                <w:color w:val="000000"/>
              </w:rPr>
            </w:pPr>
            <w:r w:rsidRPr="0038344D">
              <w:rPr>
                <w:rFonts w:eastAsia="Times New Roman"/>
                <w:color w:val="000000"/>
              </w:rPr>
              <w:t>Handover margin (dB)</w:t>
            </w:r>
          </w:p>
        </w:tc>
        <w:tc>
          <w:tcPr>
            <w:tcW w:w="2620" w:type="pct"/>
            <w:tcBorders>
              <w:top w:val="nil"/>
              <w:left w:val="nil"/>
              <w:bottom w:val="single" w:sz="4" w:space="0" w:color="auto"/>
              <w:right w:val="single" w:sz="4" w:space="0" w:color="auto"/>
            </w:tcBorders>
            <w:shd w:val="clear" w:color="000000" w:fill="F2F2F2"/>
            <w:vAlign w:val="center"/>
          </w:tcPr>
          <w:p w14:paraId="7D687D4E" w14:textId="77777777" w:rsidR="003C7447" w:rsidRPr="0038344D" w:rsidRDefault="003C7447" w:rsidP="00E31A1F">
            <w:pPr>
              <w:spacing w:after="0"/>
              <w:jc w:val="both"/>
              <w:rPr>
                <w:rFonts w:eastAsia="Times New Roman"/>
                <w:color w:val="000000"/>
              </w:rPr>
            </w:pPr>
            <w:r w:rsidRPr="0038344D">
              <w:rPr>
                <w:color w:val="000000"/>
              </w:rPr>
              <w:t>3 dB</w:t>
            </w:r>
          </w:p>
        </w:tc>
      </w:tr>
      <w:tr w:rsidR="003C7447" w:rsidRPr="0038344D" w14:paraId="4E50BEA0" w14:textId="77777777" w:rsidTr="003C7447">
        <w:trPr>
          <w:trHeight w:val="143"/>
          <w:jc w:val="center"/>
        </w:trPr>
        <w:tc>
          <w:tcPr>
            <w:tcW w:w="1125" w:type="pct"/>
            <w:vMerge/>
            <w:tcBorders>
              <w:top w:val="nil"/>
              <w:left w:val="single" w:sz="4" w:space="0" w:color="auto"/>
              <w:bottom w:val="single" w:sz="4" w:space="0" w:color="000000"/>
              <w:right w:val="single" w:sz="4" w:space="0" w:color="auto"/>
            </w:tcBorders>
            <w:vAlign w:val="center"/>
            <w:hideMark/>
          </w:tcPr>
          <w:p w14:paraId="79678D81"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14AC7B1D" w14:textId="77777777" w:rsidR="003C7447" w:rsidRPr="0038344D" w:rsidRDefault="003C7447" w:rsidP="00E31A1F">
            <w:pPr>
              <w:spacing w:after="0"/>
              <w:jc w:val="both"/>
              <w:rPr>
                <w:rFonts w:eastAsia="Times New Roman"/>
                <w:color w:val="000000"/>
              </w:rPr>
            </w:pPr>
            <w:r w:rsidRPr="0038344D">
              <w:rPr>
                <w:rFonts w:eastAsia="Times New Roman"/>
                <w:color w:val="000000"/>
              </w:rPr>
              <w:t>UE attachment</w:t>
            </w:r>
          </w:p>
        </w:tc>
        <w:tc>
          <w:tcPr>
            <w:tcW w:w="2620" w:type="pct"/>
            <w:tcBorders>
              <w:top w:val="nil"/>
              <w:left w:val="nil"/>
              <w:bottom w:val="single" w:sz="4" w:space="0" w:color="auto"/>
              <w:right w:val="single" w:sz="4" w:space="0" w:color="auto"/>
            </w:tcBorders>
            <w:shd w:val="clear" w:color="000000" w:fill="F2F2F2"/>
          </w:tcPr>
          <w:p w14:paraId="37FBB4B8" w14:textId="77777777" w:rsidR="003C7447" w:rsidRPr="0038344D" w:rsidRDefault="003C7447" w:rsidP="00E31A1F">
            <w:pPr>
              <w:spacing w:after="0"/>
              <w:jc w:val="both"/>
              <w:rPr>
                <w:rFonts w:eastAsia="Times New Roman"/>
                <w:color w:val="000000"/>
              </w:rPr>
            </w:pPr>
            <w:r w:rsidRPr="0038344D">
              <w:rPr>
                <w:rFonts w:eastAsia="Times New Roman"/>
                <w:color w:val="000000"/>
              </w:rPr>
              <w:t>Based on RSRP from port 0</w:t>
            </w:r>
          </w:p>
        </w:tc>
      </w:tr>
      <w:tr w:rsidR="003C7447" w:rsidRPr="0038344D" w14:paraId="2C3A56A4" w14:textId="77777777" w:rsidTr="003C7447">
        <w:trPr>
          <w:trHeight w:val="80"/>
          <w:jc w:val="center"/>
        </w:trPr>
        <w:tc>
          <w:tcPr>
            <w:tcW w:w="1125" w:type="pct"/>
            <w:vMerge/>
            <w:tcBorders>
              <w:top w:val="nil"/>
              <w:left w:val="single" w:sz="4" w:space="0" w:color="auto"/>
              <w:bottom w:val="single" w:sz="4" w:space="0" w:color="000000"/>
              <w:right w:val="single" w:sz="4" w:space="0" w:color="auto"/>
            </w:tcBorders>
            <w:vAlign w:val="center"/>
            <w:hideMark/>
          </w:tcPr>
          <w:p w14:paraId="0AADDA6B"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4AA0E9A0" w14:textId="77777777" w:rsidR="003C7447" w:rsidRPr="0038344D" w:rsidRDefault="003C7447" w:rsidP="00E31A1F">
            <w:pPr>
              <w:spacing w:after="0"/>
              <w:jc w:val="both"/>
              <w:rPr>
                <w:rFonts w:eastAsia="Times New Roman"/>
                <w:color w:val="000000"/>
              </w:rPr>
            </w:pPr>
            <w:r w:rsidRPr="0038344D">
              <w:rPr>
                <w:rFonts w:eastAsia="Times New Roman"/>
                <w:color w:val="000000"/>
              </w:rPr>
              <w:t>Transmission scheme</w:t>
            </w:r>
          </w:p>
        </w:tc>
        <w:tc>
          <w:tcPr>
            <w:tcW w:w="2620" w:type="pct"/>
            <w:tcBorders>
              <w:top w:val="nil"/>
              <w:left w:val="nil"/>
              <w:bottom w:val="single" w:sz="4" w:space="0" w:color="auto"/>
              <w:right w:val="single" w:sz="4" w:space="0" w:color="auto"/>
            </w:tcBorders>
            <w:shd w:val="clear" w:color="000000" w:fill="F2F2F2"/>
            <w:vAlign w:val="center"/>
          </w:tcPr>
          <w:p w14:paraId="1A2F8627" w14:textId="77777777" w:rsidR="003C7447" w:rsidRPr="0038344D" w:rsidRDefault="003C7447" w:rsidP="00E31A1F">
            <w:pPr>
              <w:spacing w:after="0"/>
              <w:jc w:val="both"/>
              <w:rPr>
                <w:rFonts w:eastAsia="Times New Roman"/>
                <w:color w:val="000000"/>
              </w:rPr>
            </w:pPr>
            <w:r w:rsidRPr="0038344D">
              <w:rPr>
                <w:color w:val="000000"/>
              </w:rPr>
              <w:t>SU-MIMO, maximum layers for SU-MIMO = 2</w:t>
            </w:r>
          </w:p>
        </w:tc>
      </w:tr>
      <w:tr w:rsidR="003C7447" w:rsidRPr="0038344D" w14:paraId="2D545548" w14:textId="77777777" w:rsidTr="003C7447">
        <w:trPr>
          <w:trHeight w:val="197"/>
          <w:jc w:val="center"/>
        </w:trPr>
        <w:tc>
          <w:tcPr>
            <w:tcW w:w="1125" w:type="pct"/>
            <w:vMerge/>
            <w:tcBorders>
              <w:top w:val="nil"/>
              <w:left w:val="single" w:sz="4" w:space="0" w:color="auto"/>
              <w:bottom w:val="single" w:sz="4" w:space="0" w:color="000000"/>
              <w:right w:val="single" w:sz="4" w:space="0" w:color="auto"/>
            </w:tcBorders>
            <w:vAlign w:val="center"/>
            <w:hideMark/>
          </w:tcPr>
          <w:p w14:paraId="551AAE90"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7BA7B41C" w14:textId="77777777" w:rsidR="003C7447" w:rsidRPr="0038344D" w:rsidRDefault="003C7447" w:rsidP="00E31A1F">
            <w:pPr>
              <w:spacing w:after="0"/>
              <w:jc w:val="both"/>
              <w:rPr>
                <w:rFonts w:eastAsia="Times New Roman"/>
                <w:color w:val="000000"/>
              </w:rPr>
            </w:pPr>
            <w:r w:rsidRPr="0038344D">
              <w:rPr>
                <w:rFonts w:eastAsia="Times New Roman"/>
                <w:color w:val="000000"/>
              </w:rPr>
              <w:t>Polarized antenna model</w:t>
            </w:r>
          </w:p>
        </w:tc>
        <w:tc>
          <w:tcPr>
            <w:tcW w:w="2620" w:type="pct"/>
            <w:tcBorders>
              <w:top w:val="nil"/>
              <w:left w:val="nil"/>
              <w:bottom w:val="single" w:sz="4" w:space="0" w:color="auto"/>
              <w:right w:val="single" w:sz="4" w:space="0" w:color="auto"/>
            </w:tcBorders>
            <w:shd w:val="clear" w:color="000000" w:fill="F2F2F2"/>
            <w:vAlign w:val="center"/>
          </w:tcPr>
          <w:p w14:paraId="6BB5824B" w14:textId="77777777" w:rsidR="003C7447" w:rsidRPr="0038344D" w:rsidRDefault="003C7447" w:rsidP="00E31A1F">
            <w:pPr>
              <w:spacing w:after="0"/>
              <w:jc w:val="both"/>
              <w:rPr>
                <w:rFonts w:eastAsia="Times New Roman"/>
                <w:color w:val="000000"/>
              </w:rPr>
            </w:pPr>
            <w:r w:rsidRPr="0038344D">
              <w:rPr>
                <w:color w:val="000000"/>
              </w:rPr>
              <w:t>Model-1 in clause 7.3.2 in TR 38.901</w:t>
            </w:r>
          </w:p>
        </w:tc>
      </w:tr>
      <w:tr w:rsidR="003C7447" w:rsidRPr="0038344D" w14:paraId="4305C887" w14:textId="77777777" w:rsidTr="003C7447">
        <w:trPr>
          <w:trHeight w:val="143"/>
          <w:jc w:val="center"/>
        </w:trPr>
        <w:tc>
          <w:tcPr>
            <w:tcW w:w="1125" w:type="pct"/>
            <w:vMerge/>
            <w:tcBorders>
              <w:top w:val="nil"/>
              <w:left w:val="single" w:sz="4" w:space="0" w:color="auto"/>
              <w:bottom w:val="single" w:sz="4" w:space="0" w:color="000000"/>
              <w:right w:val="single" w:sz="4" w:space="0" w:color="auto"/>
            </w:tcBorders>
            <w:vAlign w:val="center"/>
            <w:hideMark/>
          </w:tcPr>
          <w:p w14:paraId="17588380"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39B97EE5" w14:textId="77777777" w:rsidR="003C7447" w:rsidRPr="0038344D" w:rsidRDefault="003C7447" w:rsidP="00E31A1F">
            <w:pPr>
              <w:spacing w:after="0"/>
              <w:jc w:val="both"/>
              <w:rPr>
                <w:rFonts w:eastAsia="Times New Roman"/>
                <w:color w:val="000000"/>
              </w:rPr>
            </w:pPr>
            <w:r w:rsidRPr="0038344D">
              <w:rPr>
                <w:rFonts w:eastAsia="Times New Roman"/>
                <w:color w:val="000000"/>
              </w:rPr>
              <w:t>DL/UL Modulation</w:t>
            </w:r>
          </w:p>
        </w:tc>
        <w:tc>
          <w:tcPr>
            <w:tcW w:w="2620" w:type="pct"/>
            <w:tcBorders>
              <w:top w:val="nil"/>
              <w:left w:val="nil"/>
              <w:bottom w:val="single" w:sz="4" w:space="0" w:color="auto"/>
              <w:right w:val="single" w:sz="4" w:space="0" w:color="auto"/>
            </w:tcBorders>
            <w:shd w:val="clear" w:color="000000" w:fill="F2F2F2"/>
            <w:vAlign w:val="center"/>
          </w:tcPr>
          <w:p w14:paraId="1C45F647" w14:textId="77777777" w:rsidR="003C7447" w:rsidRPr="0038344D" w:rsidRDefault="003C7447" w:rsidP="00E31A1F">
            <w:pPr>
              <w:spacing w:after="0"/>
              <w:jc w:val="both"/>
              <w:rPr>
                <w:rFonts w:eastAsia="Times New Roman"/>
                <w:color w:val="000000"/>
              </w:rPr>
            </w:pPr>
            <w:r w:rsidRPr="0038344D">
              <w:rPr>
                <w:color w:val="000000"/>
              </w:rPr>
              <w:t>Up to 256QAM</w:t>
            </w:r>
          </w:p>
        </w:tc>
      </w:tr>
      <w:tr w:rsidR="003C7447" w:rsidRPr="0038344D" w14:paraId="0E8444F1" w14:textId="77777777" w:rsidTr="003C7447">
        <w:trPr>
          <w:trHeight w:val="80"/>
          <w:jc w:val="center"/>
        </w:trPr>
        <w:tc>
          <w:tcPr>
            <w:tcW w:w="1125" w:type="pct"/>
            <w:vMerge/>
            <w:tcBorders>
              <w:top w:val="nil"/>
              <w:left w:val="single" w:sz="4" w:space="0" w:color="auto"/>
              <w:bottom w:val="nil"/>
              <w:right w:val="single" w:sz="4" w:space="0" w:color="auto"/>
            </w:tcBorders>
            <w:vAlign w:val="center"/>
            <w:hideMark/>
          </w:tcPr>
          <w:p w14:paraId="4FEAA880"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784F1EF2" w14:textId="77777777" w:rsidR="003C7447" w:rsidRPr="0038344D" w:rsidRDefault="003C7447" w:rsidP="00E31A1F">
            <w:pPr>
              <w:spacing w:after="0"/>
              <w:jc w:val="both"/>
              <w:rPr>
                <w:rFonts w:eastAsia="Times New Roman"/>
                <w:color w:val="000000"/>
              </w:rPr>
            </w:pPr>
            <w:r w:rsidRPr="0038344D">
              <w:rPr>
                <w:rFonts w:eastAsia="Times New Roman"/>
                <w:color w:val="000000"/>
              </w:rPr>
              <w:t>Scheduling</w:t>
            </w:r>
          </w:p>
        </w:tc>
        <w:tc>
          <w:tcPr>
            <w:tcW w:w="2620" w:type="pct"/>
            <w:tcBorders>
              <w:top w:val="nil"/>
              <w:left w:val="nil"/>
              <w:bottom w:val="single" w:sz="4" w:space="0" w:color="auto"/>
              <w:right w:val="single" w:sz="4" w:space="0" w:color="auto"/>
            </w:tcBorders>
            <w:shd w:val="clear" w:color="000000" w:fill="F2F2F2"/>
            <w:vAlign w:val="center"/>
          </w:tcPr>
          <w:p w14:paraId="0E633210" w14:textId="77777777" w:rsidR="003C7447" w:rsidRPr="0038344D" w:rsidRDefault="003C7447" w:rsidP="00E31A1F">
            <w:pPr>
              <w:spacing w:after="0"/>
              <w:jc w:val="both"/>
              <w:rPr>
                <w:rFonts w:eastAsia="Times New Roman"/>
                <w:color w:val="000000"/>
              </w:rPr>
            </w:pPr>
            <w:r w:rsidRPr="0038344D">
              <w:rPr>
                <w:color w:val="000000"/>
              </w:rPr>
              <w:t>PF</w:t>
            </w:r>
          </w:p>
        </w:tc>
      </w:tr>
      <w:tr w:rsidR="003C7447" w:rsidRPr="0038344D" w14:paraId="2E4E63F5" w14:textId="77777777" w:rsidTr="003C7447">
        <w:trPr>
          <w:trHeight w:val="80"/>
          <w:jc w:val="center"/>
        </w:trPr>
        <w:tc>
          <w:tcPr>
            <w:tcW w:w="1125" w:type="pct"/>
            <w:tcBorders>
              <w:top w:val="nil"/>
              <w:left w:val="single" w:sz="4" w:space="0" w:color="auto"/>
              <w:bottom w:val="single" w:sz="4" w:space="0" w:color="000000"/>
              <w:right w:val="single" w:sz="4" w:space="0" w:color="auto"/>
            </w:tcBorders>
            <w:vAlign w:val="center"/>
          </w:tcPr>
          <w:p w14:paraId="03557CB7" w14:textId="77777777" w:rsidR="003C7447" w:rsidRPr="0038344D" w:rsidRDefault="003C7447" w:rsidP="00E31A1F">
            <w:pPr>
              <w:spacing w:after="0"/>
              <w:rPr>
                <w:rFonts w:eastAsia="Times New Roman"/>
                <w:color w:val="000000"/>
              </w:rPr>
            </w:pPr>
          </w:p>
        </w:tc>
        <w:tc>
          <w:tcPr>
            <w:tcW w:w="1255" w:type="pct"/>
            <w:tcBorders>
              <w:top w:val="single" w:sz="4" w:space="0" w:color="auto"/>
              <w:left w:val="nil"/>
              <w:bottom w:val="single" w:sz="4" w:space="0" w:color="auto"/>
              <w:right w:val="single" w:sz="4" w:space="0" w:color="auto"/>
            </w:tcBorders>
            <w:shd w:val="clear" w:color="000000" w:fill="F2F2F2"/>
            <w:vAlign w:val="center"/>
          </w:tcPr>
          <w:p w14:paraId="019E1D93" w14:textId="77777777" w:rsidR="003C7447" w:rsidRPr="0038344D" w:rsidRDefault="003C7447" w:rsidP="00E31A1F">
            <w:pPr>
              <w:spacing w:after="0"/>
              <w:jc w:val="both"/>
              <w:rPr>
                <w:rFonts w:eastAsia="Times New Roman"/>
                <w:color w:val="000000"/>
              </w:rPr>
            </w:pPr>
            <w:r w:rsidRPr="0038344D">
              <w:rPr>
                <w:rFonts w:eastAsia="Times New Roman"/>
                <w:color w:val="000000"/>
              </w:rPr>
              <w:t>Overhead</w:t>
            </w:r>
          </w:p>
        </w:tc>
        <w:tc>
          <w:tcPr>
            <w:tcW w:w="2620" w:type="pct"/>
            <w:tcBorders>
              <w:top w:val="single" w:sz="4" w:space="0" w:color="auto"/>
              <w:left w:val="nil"/>
              <w:bottom w:val="single" w:sz="4" w:space="0" w:color="auto"/>
              <w:right w:val="single" w:sz="4" w:space="0" w:color="auto"/>
            </w:tcBorders>
            <w:shd w:val="clear" w:color="000000" w:fill="F2F2F2"/>
            <w:vAlign w:val="center"/>
          </w:tcPr>
          <w:p w14:paraId="29E14082" w14:textId="77777777" w:rsidR="003C7447" w:rsidRDefault="003C7447" w:rsidP="00E31A1F">
            <w:pPr>
              <w:spacing w:after="0"/>
              <w:jc w:val="both"/>
              <w:rPr>
                <w:color w:val="000000"/>
              </w:rPr>
            </w:pPr>
            <w:r>
              <w:rPr>
                <w:color w:val="000000"/>
              </w:rPr>
              <w:t>DL: 27.38%</w:t>
            </w:r>
          </w:p>
          <w:p w14:paraId="4174863B" w14:textId="77777777" w:rsidR="003C7447" w:rsidRPr="0038344D" w:rsidRDefault="003C7447" w:rsidP="00E31A1F">
            <w:pPr>
              <w:spacing w:after="0"/>
              <w:jc w:val="both"/>
              <w:rPr>
                <w:color w:val="000000"/>
              </w:rPr>
            </w:pPr>
            <w:r>
              <w:rPr>
                <w:color w:val="000000"/>
              </w:rPr>
              <w:t>UL: 14.9%</w:t>
            </w:r>
          </w:p>
        </w:tc>
      </w:tr>
    </w:tbl>
    <w:p w14:paraId="31B00A5F" w14:textId="77777777" w:rsidR="00495D94" w:rsidRDefault="00495D94" w:rsidP="008A3F3B">
      <w:pPr>
        <w:spacing w:after="120"/>
      </w:pPr>
    </w:p>
    <w:sectPr w:rsidR="00495D9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3DAFE" w14:textId="77777777" w:rsidR="00B6503B" w:rsidRDefault="00B6503B">
      <w:r>
        <w:separator/>
      </w:r>
    </w:p>
  </w:endnote>
  <w:endnote w:type="continuationSeparator" w:id="0">
    <w:p w14:paraId="699E43C5" w14:textId="77777777" w:rsidR="00B6503B" w:rsidRDefault="00B65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F6A5D" w14:textId="77777777" w:rsidR="00B6503B" w:rsidRDefault="00B6503B">
      <w:r>
        <w:separator/>
      </w:r>
    </w:p>
  </w:footnote>
  <w:footnote w:type="continuationSeparator" w:id="0">
    <w:p w14:paraId="08FCC770" w14:textId="77777777" w:rsidR="00B6503B" w:rsidRDefault="00B650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14385765"/>
    <w:multiLevelType w:val="hybridMultilevel"/>
    <w:tmpl w:val="055AC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9EE4C48"/>
    <w:multiLevelType w:val="hybridMultilevel"/>
    <w:tmpl w:val="49EC7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4817A3"/>
    <w:multiLevelType w:val="hybridMultilevel"/>
    <w:tmpl w:val="B4C69454"/>
    <w:lvl w:ilvl="0" w:tplc="BFD87400">
      <w:start w:val="1"/>
      <w:numFmt w:val="decimal"/>
      <w:suff w:val="space"/>
      <w:lvlText w:val="Observation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554166"/>
    <w:multiLevelType w:val="hybridMultilevel"/>
    <w:tmpl w:val="C5422686"/>
    <w:lvl w:ilvl="0" w:tplc="A098771A">
      <w:start w:val="1"/>
      <w:numFmt w:val="decimal"/>
      <w:suff w:val="space"/>
      <w:lvlText w:val="Observation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0E67A33"/>
    <w:multiLevelType w:val="hybridMultilevel"/>
    <w:tmpl w:val="0330AFBC"/>
    <w:lvl w:ilvl="0" w:tplc="18A0FAEE">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66A1BC7"/>
    <w:multiLevelType w:val="multilevel"/>
    <w:tmpl w:val="481A5BB4"/>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55A2008F"/>
    <w:multiLevelType w:val="hybridMultilevel"/>
    <w:tmpl w:val="5666F200"/>
    <w:lvl w:ilvl="0" w:tplc="33B05536">
      <w:start w:val="1"/>
      <w:numFmt w:val="lowerLetter"/>
      <w:lvlText w:val="(%1)"/>
      <w:lvlJc w:val="left"/>
      <w:pPr>
        <w:ind w:left="3160" w:hanging="360"/>
      </w:pPr>
      <w:rPr>
        <w:rFonts w:hint="default"/>
      </w:rPr>
    </w:lvl>
    <w:lvl w:ilvl="1" w:tplc="08090019" w:tentative="1">
      <w:start w:val="1"/>
      <w:numFmt w:val="lowerLetter"/>
      <w:lvlText w:val="%2."/>
      <w:lvlJc w:val="left"/>
      <w:pPr>
        <w:ind w:left="3880" w:hanging="360"/>
      </w:pPr>
    </w:lvl>
    <w:lvl w:ilvl="2" w:tplc="0809001B" w:tentative="1">
      <w:start w:val="1"/>
      <w:numFmt w:val="lowerRoman"/>
      <w:lvlText w:val="%3."/>
      <w:lvlJc w:val="right"/>
      <w:pPr>
        <w:ind w:left="4600" w:hanging="180"/>
      </w:pPr>
    </w:lvl>
    <w:lvl w:ilvl="3" w:tplc="0809000F" w:tentative="1">
      <w:start w:val="1"/>
      <w:numFmt w:val="decimal"/>
      <w:lvlText w:val="%4."/>
      <w:lvlJc w:val="left"/>
      <w:pPr>
        <w:ind w:left="5320" w:hanging="360"/>
      </w:pPr>
    </w:lvl>
    <w:lvl w:ilvl="4" w:tplc="08090019" w:tentative="1">
      <w:start w:val="1"/>
      <w:numFmt w:val="lowerLetter"/>
      <w:lvlText w:val="%5."/>
      <w:lvlJc w:val="left"/>
      <w:pPr>
        <w:ind w:left="6040" w:hanging="360"/>
      </w:pPr>
    </w:lvl>
    <w:lvl w:ilvl="5" w:tplc="0809001B" w:tentative="1">
      <w:start w:val="1"/>
      <w:numFmt w:val="lowerRoman"/>
      <w:lvlText w:val="%6."/>
      <w:lvlJc w:val="right"/>
      <w:pPr>
        <w:ind w:left="6760" w:hanging="180"/>
      </w:pPr>
    </w:lvl>
    <w:lvl w:ilvl="6" w:tplc="0809000F" w:tentative="1">
      <w:start w:val="1"/>
      <w:numFmt w:val="decimal"/>
      <w:lvlText w:val="%7."/>
      <w:lvlJc w:val="left"/>
      <w:pPr>
        <w:ind w:left="7480" w:hanging="360"/>
      </w:pPr>
    </w:lvl>
    <w:lvl w:ilvl="7" w:tplc="08090019" w:tentative="1">
      <w:start w:val="1"/>
      <w:numFmt w:val="lowerLetter"/>
      <w:lvlText w:val="%8."/>
      <w:lvlJc w:val="left"/>
      <w:pPr>
        <w:ind w:left="8200" w:hanging="360"/>
      </w:pPr>
    </w:lvl>
    <w:lvl w:ilvl="8" w:tplc="0809001B" w:tentative="1">
      <w:start w:val="1"/>
      <w:numFmt w:val="lowerRoman"/>
      <w:lvlText w:val="%9."/>
      <w:lvlJc w:val="right"/>
      <w:pPr>
        <w:ind w:left="8920" w:hanging="180"/>
      </w:pPr>
    </w:lvl>
  </w:abstractNum>
  <w:abstractNum w:abstractNumId="9" w15:restartNumberingAfterBreak="0">
    <w:nsid w:val="7364219A"/>
    <w:multiLevelType w:val="hybridMultilevel"/>
    <w:tmpl w:val="A6DCCD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3A42C50"/>
    <w:multiLevelType w:val="hybridMultilevel"/>
    <w:tmpl w:val="58F06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4E5885"/>
    <w:multiLevelType w:val="hybridMultilevel"/>
    <w:tmpl w:val="7AE28F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7EFB3E37"/>
    <w:multiLevelType w:val="hybridMultilevel"/>
    <w:tmpl w:val="02803180"/>
    <w:lvl w:ilvl="0" w:tplc="9BAC831A">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11"/>
  </w:num>
  <w:num w:numId="5">
    <w:abstractNumId w:val="1"/>
  </w:num>
  <w:num w:numId="6">
    <w:abstractNumId w:val="3"/>
  </w:num>
  <w:num w:numId="7">
    <w:abstractNumId w:val="4"/>
  </w:num>
  <w:num w:numId="8">
    <w:abstractNumId w:val="10"/>
  </w:num>
  <w:num w:numId="9">
    <w:abstractNumId w:val="12"/>
  </w:num>
  <w:num w:numId="10">
    <w:abstractNumId w:val="5"/>
  </w:num>
  <w:num w:numId="11">
    <w:abstractNumId w:val="9"/>
  </w:num>
  <w:num w:numId="12">
    <w:abstractNumId w:val="0"/>
  </w:num>
  <w:num w:numId="1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738"/>
    <w:rsid w:val="00000788"/>
    <w:rsid w:val="00001132"/>
    <w:rsid w:val="000027EA"/>
    <w:rsid w:val="00002CDB"/>
    <w:rsid w:val="00002F57"/>
    <w:rsid w:val="00004B5C"/>
    <w:rsid w:val="000054AF"/>
    <w:rsid w:val="00005BFA"/>
    <w:rsid w:val="0000797A"/>
    <w:rsid w:val="000079AF"/>
    <w:rsid w:val="000121C0"/>
    <w:rsid w:val="000122DB"/>
    <w:rsid w:val="00013D0E"/>
    <w:rsid w:val="00014148"/>
    <w:rsid w:val="00015136"/>
    <w:rsid w:val="00015793"/>
    <w:rsid w:val="00015873"/>
    <w:rsid w:val="0001618A"/>
    <w:rsid w:val="00017589"/>
    <w:rsid w:val="0002017E"/>
    <w:rsid w:val="00020FEE"/>
    <w:rsid w:val="0002191D"/>
    <w:rsid w:val="000222CB"/>
    <w:rsid w:val="00022DE9"/>
    <w:rsid w:val="0002426D"/>
    <w:rsid w:val="00025790"/>
    <w:rsid w:val="000257A5"/>
    <w:rsid w:val="00025D75"/>
    <w:rsid w:val="0002600D"/>
    <w:rsid w:val="000266A0"/>
    <w:rsid w:val="00026D29"/>
    <w:rsid w:val="00026F21"/>
    <w:rsid w:val="00027207"/>
    <w:rsid w:val="00027E8A"/>
    <w:rsid w:val="00027EAD"/>
    <w:rsid w:val="000306A4"/>
    <w:rsid w:val="00030D4B"/>
    <w:rsid w:val="00030F76"/>
    <w:rsid w:val="00031617"/>
    <w:rsid w:val="00031C1D"/>
    <w:rsid w:val="00032F6B"/>
    <w:rsid w:val="0003309F"/>
    <w:rsid w:val="00033D81"/>
    <w:rsid w:val="000343F5"/>
    <w:rsid w:val="00034473"/>
    <w:rsid w:val="00035ADC"/>
    <w:rsid w:val="00035C8A"/>
    <w:rsid w:val="00036802"/>
    <w:rsid w:val="00036E9D"/>
    <w:rsid w:val="000400D9"/>
    <w:rsid w:val="000410CA"/>
    <w:rsid w:val="00041C77"/>
    <w:rsid w:val="000421CC"/>
    <w:rsid w:val="00042272"/>
    <w:rsid w:val="000422B9"/>
    <w:rsid w:val="00042865"/>
    <w:rsid w:val="00042EE2"/>
    <w:rsid w:val="000432A2"/>
    <w:rsid w:val="000438B7"/>
    <w:rsid w:val="0004557B"/>
    <w:rsid w:val="00045839"/>
    <w:rsid w:val="00045AE9"/>
    <w:rsid w:val="0004605B"/>
    <w:rsid w:val="000460EA"/>
    <w:rsid w:val="000472D9"/>
    <w:rsid w:val="00047BCC"/>
    <w:rsid w:val="00047DB7"/>
    <w:rsid w:val="0005060F"/>
    <w:rsid w:val="00050E75"/>
    <w:rsid w:val="000512B0"/>
    <w:rsid w:val="00051F1F"/>
    <w:rsid w:val="00052B7C"/>
    <w:rsid w:val="00053BDB"/>
    <w:rsid w:val="00053C5F"/>
    <w:rsid w:val="00054D06"/>
    <w:rsid w:val="000557B8"/>
    <w:rsid w:val="00056973"/>
    <w:rsid w:val="00056A73"/>
    <w:rsid w:val="00057AC8"/>
    <w:rsid w:val="00057DC0"/>
    <w:rsid w:val="0006236F"/>
    <w:rsid w:val="00062FB0"/>
    <w:rsid w:val="00063B19"/>
    <w:rsid w:val="00063D41"/>
    <w:rsid w:val="000646D3"/>
    <w:rsid w:val="0006544C"/>
    <w:rsid w:val="00065684"/>
    <w:rsid w:val="00065840"/>
    <w:rsid w:val="00065A6D"/>
    <w:rsid w:val="0006663D"/>
    <w:rsid w:val="000668A5"/>
    <w:rsid w:val="0006723B"/>
    <w:rsid w:val="000672B2"/>
    <w:rsid w:val="0006733D"/>
    <w:rsid w:val="00067506"/>
    <w:rsid w:val="000676AA"/>
    <w:rsid w:val="00067856"/>
    <w:rsid w:val="000709CD"/>
    <w:rsid w:val="00071B7E"/>
    <w:rsid w:val="00072727"/>
    <w:rsid w:val="00072873"/>
    <w:rsid w:val="000728B9"/>
    <w:rsid w:val="00072BDA"/>
    <w:rsid w:val="00072D4C"/>
    <w:rsid w:val="00073E0A"/>
    <w:rsid w:val="0007407F"/>
    <w:rsid w:val="00074BF1"/>
    <w:rsid w:val="00074DD7"/>
    <w:rsid w:val="00074F11"/>
    <w:rsid w:val="00074FF4"/>
    <w:rsid w:val="00075A79"/>
    <w:rsid w:val="000774DF"/>
    <w:rsid w:val="000778FF"/>
    <w:rsid w:val="00077D62"/>
    <w:rsid w:val="000804BB"/>
    <w:rsid w:val="00080676"/>
    <w:rsid w:val="00080B3D"/>
    <w:rsid w:val="00080EA9"/>
    <w:rsid w:val="00081D69"/>
    <w:rsid w:val="000822BA"/>
    <w:rsid w:val="00082AA4"/>
    <w:rsid w:val="0008338A"/>
    <w:rsid w:val="000837A9"/>
    <w:rsid w:val="00083A46"/>
    <w:rsid w:val="000850C4"/>
    <w:rsid w:val="000863CD"/>
    <w:rsid w:val="0008693B"/>
    <w:rsid w:val="00087287"/>
    <w:rsid w:val="0008738E"/>
    <w:rsid w:val="00090F90"/>
    <w:rsid w:val="000917A0"/>
    <w:rsid w:val="00091924"/>
    <w:rsid w:val="0009229A"/>
    <w:rsid w:val="00092540"/>
    <w:rsid w:val="00092684"/>
    <w:rsid w:val="00093E7E"/>
    <w:rsid w:val="0009555A"/>
    <w:rsid w:val="0009679F"/>
    <w:rsid w:val="00096F03"/>
    <w:rsid w:val="00097FF4"/>
    <w:rsid w:val="000A02F0"/>
    <w:rsid w:val="000A097E"/>
    <w:rsid w:val="000A1A1C"/>
    <w:rsid w:val="000A28EE"/>
    <w:rsid w:val="000A2E10"/>
    <w:rsid w:val="000A3132"/>
    <w:rsid w:val="000A32B6"/>
    <w:rsid w:val="000A46B3"/>
    <w:rsid w:val="000A4C2D"/>
    <w:rsid w:val="000A5F5F"/>
    <w:rsid w:val="000A67B2"/>
    <w:rsid w:val="000A6D03"/>
    <w:rsid w:val="000A75D8"/>
    <w:rsid w:val="000A764D"/>
    <w:rsid w:val="000A7B03"/>
    <w:rsid w:val="000A7CBF"/>
    <w:rsid w:val="000B0020"/>
    <w:rsid w:val="000B0083"/>
    <w:rsid w:val="000B0937"/>
    <w:rsid w:val="000B0DA4"/>
    <w:rsid w:val="000B0FA5"/>
    <w:rsid w:val="000B175D"/>
    <w:rsid w:val="000B2EF7"/>
    <w:rsid w:val="000B30B6"/>
    <w:rsid w:val="000B3A12"/>
    <w:rsid w:val="000B3A76"/>
    <w:rsid w:val="000B3C70"/>
    <w:rsid w:val="000B3C88"/>
    <w:rsid w:val="000B42AC"/>
    <w:rsid w:val="000B457A"/>
    <w:rsid w:val="000B49AF"/>
    <w:rsid w:val="000B4A0D"/>
    <w:rsid w:val="000B4CAE"/>
    <w:rsid w:val="000B5B95"/>
    <w:rsid w:val="000B60EF"/>
    <w:rsid w:val="000C0E80"/>
    <w:rsid w:val="000C284B"/>
    <w:rsid w:val="000C28E5"/>
    <w:rsid w:val="000C404B"/>
    <w:rsid w:val="000C43F7"/>
    <w:rsid w:val="000C44A9"/>
    <w:rsid w:val="000C46D6"/>
    <w:rsid w:val="000C5E91"/>
    <w:rsid w:val="000C5F8B"/>
    <w:rsid w:val="000C65E3"/>
    <w:rsid w:val="000C6C28"/>
    <w:rsid w:val="000C6CCD"/>
    <w:rsid w:val="000C6F6E"/>
    <w:rsid w:val="000D06B4"/>
    <w:rsid w:val="000D07A5"/>
    <w:rsid w:val="000D1E67"/>
    <w:rsid w:val="000D1E9A"/>
    <w:rsid w:val="000D2458"/>
    <w:rsid w:val="000D33AB"/>
    <w:rsid w:val="000D4ED1"/>
    <w:rsid w:val="000D54C6"/>
    <w:rsid w:val="000D6BE7"/>
    <w:rsid w:val="000D6CFC"/>
    <w:rsid w:val="000D6D65"/>
    <w:rsid w:val="000D7985"/>
    <w:rsid w:val="000D7E32"/>
    <w:rsid w:val="000D7F67"/>
    <w:rsid w:val="000E005A"/>
    <w:rsid w:val="000E0436"/>
    <w:rsid w:val="000E07FB"/>
    <w:rsid w:val="000E109E"/>
    <w:rsid w:val="000E153D"/>
    <w:rsid w:val="000E16EB"/>
    <w:rsid w:val="000E1A79"/>
    <w:rsid w:val="000E20FC"/>
    <w:rsid w:val="000E284C"/>
    <w:rsid w:val="000E28FB"/>
    <w:rsid w:val="000E3233"/>
    <w:rsid w:val="000E469E"/>
    <w:rsid w:val="000E4A2D"/>
    <w:rsid w:val="000E4DD3"/>
    <w:rsid w:val="000E657B"/>
    <w:rsid w:val="000E69EA"/>
    <w:rsid w:val="000E6A95"/>
    <w:rsid w:val="000E760A"/>
    <w:rsid w:val="000F1776"/>
    <w:rsid w:val="000F1F32"/>
    <w:rsid w:val="000F3EA8"/>
    <w:rsid w:val="000F4861"/>
    <w:rsid w:val="000F540B"/>
    <w:rsid w:val="000F62A4"/>
    <w:rsid w:val="000F71CD"/>
    <w:rsid w:val="000F741D"/>
    <w:rsid w:val="000F7730"/>
    <w:rsid w:val="000F7733"/>
    <w:rsid w:val="000F7EFE"/>
    <w:rsid w:val="0010054E"/>
    <w:rsid w:val="00100821"/>
    <w:rsid w:val="001010BC"/>
    <w:rsid w:val="00101289"/>
    <w:rsid w:val="001012D3"/>
    <w:rsid w:val="00101381"/>
    <w:rsid w:val="00101C1E"/>
    <w:rsid w:val="00102782"/>
    <w:rsid w:val="001033DD"/>
    <w:rsid w:val="0010343E"/>
    <w:rsid w:val="00103A98"/>
    <w:rsid w:val="0010489E"/>
    <w:rsid w:val="0010546F"/>
    <w:rsid w:val="00105ACD"/>
    <w:rsid w:val="001063BE"/>
    <w:rsid w:val="00106BED"/>
    <w:rsid w:val="00106F34"/>
    <w:rsid w:val="001079E1"/>
    <w:rsid w:val="00107A3D"/>
    <w:rsid w:val="00107C99"/>
    <w:rsid w:val="00107FFA"/>
    <w:rsid w:val="00110201"/>
    <w:rsid w:val="00111473"/>
    <w:rsid w:val="00111D8E"/>
    <w:rsid w:val="00112480"/>
    <w:rsid w:val="0011266F"/>
    <w:rsid w:val="001132EE"/>
    <w:rsid w:val="001135BD"/>
    <w:rsid w:val="0011467C"/>
    <w:rsid w:val="00114A5F"/>
    <w:rsid w:val="00115249"/>
    <w:rsid w:val="00116720"/>
    <w:rsid w:val="001200EA"/>
    <w:rsid w:val="001206F8"/>
    <w:rsid w:val="00121012"/>
    <w:rsid w:val="00121161"/>
    <w:rsid w:val="001211BC"/>
    <w:rsid w:val="00121877"/>
    <w:rsid w:val="00121C6E"/>
    <w:rsid w:val="00121E7E"/>
    <w:rsid w:val="00122A76"/>
    <w:rsid w:val="00124664"/>
    <w:rsid w:val="00125061"/>
    <w:rsid w:val="00125AA7"/>
    <w:rsid w:val="00125B7D"/>
    <w:rsid w:val="00126AE3"/>
    <w:rsid w:val="00126E09"/>
    <w:rsid w:val="00127382"/>
    <w:rsid w:val="001279D6"/>
    <w:rsid w:val="00127D1E"/>
    <w:rsid w:val="00130399"/>
    <w:rsid w:val="0013060D"/>
    <w:rsid w:val="00130738"/>
    <w:rsid w:val="0013078F"/>
    <w:rsid w:val="00131339"/>
    <w:rsid w:val="00131A87"/>
    <w:rsid w:val="0013262A"/>
    <w:rsid w:val="00132A1B"/>
    <w:rsid w:val="00132BEB"/>
    <w:rsid w:val="00132FBD"/>
    <w:rsid w:val="00134764"/>
    <w:rsid w:val="00134C53"/>
    <w:rsid w:val="00135197"/>
    <w:rsid w:val="001354B3"/>
    <w:rsid w:val="00135703"/>
    <w:rsid w:val="00135E66"/>
    <w:rsid w:val="00135ED2"/>
    <w:rsid w:val="00136F4A"/>
    <w:rsid w:val="0013783A"/>
    <w:rsid w:val="00137A95"/>
    <w:rsid w:val="00137B0F"/>
    <w:rsid w:val="0014010C"/>
    <w:rsid w:val="00140642"/>
    <w:rsid w:val="0014085D"/>
    <w:rsid w:val="0014098D"/>
    <w:rsid w:val="00141DB0"/>
    <w:rsid w:val="00142D90"/>
    <w:rsid w:val="0014314D"/>
    <w:rsid w:val="0014325E"/>
    <w:rsid w:val="0014368D"/>
    <w:rsid w:val="00143711"/>
    <w:rsid w:val="00143961"/>
    <w:rsid w:val="0014420A"/>
    <w:rsid w:val="00144695"/>
    <w:rsid w:val="001447A7"/>
    <w:rsid w:val="00145437"/>
    <w:rsid w:val="00147036"/>
    <w:rsid w:val="001474FD"/>
    <w:rsid w:val="001475D3"/>
    <w:rsid w:val="00147FF8"/>
    <w:rsid w:val="00150DA5"/>
    <w:rsid w:val="001517AE"/>
    <w:rsid w:val="00151933"/>
    <w:rsid w:val="00151AAC"/>
    <w:rsid w:val="00151AEE"/>
    <w:rsid w:val="00152100"/>
    <w:rsid w:val="00152EF4"/>
    <w:rsid w:val="001534BC"/>
    <w:rsid w:val="00153528"/>
    <w:rsid w:val="001541D5"/>
    <w:rsid w:val="00154A79"/>
    <w:rsid w:val="00154E5B"/>
    <w:rsid w:val="00155518"/>
    <w:rsid w:val="00155DBC"/>
    <w:rsid w:val="001560E8"/>
    <w:rsid w:val="00156F21"/>
    <w:rsid w:val="00157168"/>
    <w:rsid w:val="0015718A"/>
    <w:rsid w:val="0016002B"/>
    <w:rsid w:val="001611E8"/>
    <w:rsid w:val="00161258"/>
    <w:rsid w:val="00161646"/>
    <w:rsid w:val="00161A4C"/>
    <w:rsid w:val="00163735"/>
    <w:rsid w:val="00164444"/>
    <w:rsid w:val="0016596F"/>
    <w:rsid w:val="00165AE4"/>
    <w:rsid w:val="00165DD2"/>
    <w:rsid w:val="00165EA6"/>
    <w:rsid w:val="001678F4"/>
    <w:rsid w:val="00167E28"/>
    <w:rsid w:val="001709F0"/>
    <w:rsid w:val="00172031"/>
    <w:rsid w:val="00172032"/>
    <w:rsid w:val="00172D61"/>
    <w:rsid w:val="00173283"/>
    <w:rsid w:val="00173E5B"/>
    <w:rsid w:val="00173EF3"/>
    <w:rsid w:val="0017415A"/>
    <w:rsid w:val="00174296"/>
    <w:rsid w:val="0017481B"/>
    <w:rsid w:val="001748C6"/>
    <w:rsid w:val="00175920"/>
    <w:rsid w:val="00175D9F"/>
    <w:rsid w:val="0017622C"/>
    <w:rsid w:val="00176418"/>
    <w:rsid w:val="00177C78"/>
    <w:rsid w:val="00177DC6"/>
    <w:rsid w:val="00177F2F"/>
    <w:rsid w:val="0018038E"/>
    <w:rsid w:val="00180427"/>
    <w:rsid w:val="00180DD0"/>
    <w:rsid w:val="00181586"/>
    <w:rsid w:val="00182562"/>
    <w:rsid w:val="00182B95"/>
    <w:rsid w:val="00182CC2"/>
    <w:rsid w:val="0018349F"/>
    <w:rsid w:val="00183B2D"/>
    <w:rsid w:val="001842CE"/>
    <w:rsid w:val="00185345"/>
    <w:rsid w:val="00185639"/>
    <w:rsid w:val="00185E34"/>
    <w:rsid w:val="0019079E"/>
    <w:rsid w:val="001911A9"/>
    <w:rsid w:val="00191AD9"/>
    <w:rsid w:val="0019315E"/>
    <w:rsid w:val="001937BB"/>
    <w:rsid w:val="00194839"/>
    <w:rsid w:val="00194A4E"/>
    <w:rsid w:val="00194FCC"/>
    <w:rsid w:val="001968B4"/>
    <w:rsid w:val="00196F41"/>
    <w:rsid w:val="0019725F"/>
    <w:rsid w:val="00197607"/>
    <w:rsid w:val="0019768C"/>
    <w:rsid w:val="00197CB0"/>
    <w:rsid w:val="001A048C"/>
    <w:rsid w:val="001A08AA"/>
    <w:rsid w:val="001A0F90"/>
    <w:rsid w:val="001A1493"/>
    <w:rsid w:val="001A2496"/>
    <w:rsid w:val="001A3437"/>
    <w:rsid w:val="001A4C2B"/>
    <w:rsid w:val="001A4C39"/>
    <w:rsid w:val="001A4EA6"/>
    <w:rsid w:val="001A5130"/>
    <w:rsid w:val="001A5662"/>
    <w:rsid w:val="001A5826"/>
    <w:rsid w:val="001A5EBC"/>
    <w:rsid w:val="001A6300"/>
    <w:rsid w:val="001A7CB3"/>
    <w:rsid w:val="001B07AE"/>
    <w:rsid w:val="001B11D0"/>
    <w:rsid w:val="001B2818"/>
    <w:rsid w:val="001B305A"/>
    <w:rsid w:val="001B30B1"/>
    <w:rsid w:val="001B3867"/>
    <w:rsid w:val="001B5994"/>
    <w:rsid w:val="001B614A"/>
    <w:rsid w:val="001B61A1"/>
    <w:rsid w:val="001B67D1"/>
    <w:rsid w:val="001B68E2"/>
    <w:rsid w:val="001B7C4F"/>
    <w:rsid w:val="001C020D"/>
    <w:rsid w:val="001C0327"/>
    <w:rsid w:val="001C0D39"/>
    <w:rsid w:val="001C1865"/>
    <w:rsid w:val="001C254C"/>
    <w:rsid w:val="001C2EA0"/>
    <w:rsid w:val="001C5067"/>
    <w:rsid w:val="001C5421"/>
    <w:rsid w:val="001C5556"/>
    <w:rsid w:val="001C5A24"/>
    <w:rsid w:val="001C6D8E"/>
    <w:rsid w:val="001C7DB2"/>
    <w:rsid w:val="001D028C"/>
    <w:rsid w:val="001D0389"/>
    <w:rsid w:val="001D0D43"/>
    <w:rsid w:val="001D131B"/>
    <w:rsid w:val="001D1B8E"/>
    <w:rsid w:val="001D25C8"/>
    <w:rsid w:val="001D2918"/>
    <w:rsid w:val="001D322F"/>
    <w:rsid w:val="001D3436"/>
    <w:rsid w:val="001D4C77"/>
    <w:rsid w:val="001D50EA"/>
    <w:rsid w:val="001D595B"/>
    <w:rsid w:val="001D5F60"/>
    <w:rsid w:val="001D72E5"/>
    <w:rsid w:val="001D7D29"/>
    <w:rsid w:val="001E0941"/>
    <w:rsid w:val="001E0FE6"/>
    <w:rsid w:val="001E19B5"/>
    <w:rsid w:val="001E1D4E"/>
    <w:rsid w:val="001E2F06"/>
    <w:rsid w:val="001E3057"/>
    <w:rsid w:val="001E3799"/>
    <w:rsid w:val="001E3B39"/>
    <w:rsid w:val="001E4CDC"/>
    <w:rsid w:val="001E5919"/>
    <w:rsid w:val="001E63A1"/>
    <w:rsid w:val="001E68C1"/>
    <w:rsid w:val="001E6ACB"/>
    <w:rsid w:val="001E702A"/>
    <w:rsid w:val="001E7CD1"/>
    <w:rsid w:val="001E7D11"/>
    <w:rsid w:val="001E7DCF"/>
    <w:rsid w:val="001F1997"/>
    <w:rsid w:val="001F1E13"/>
    <w:rsid w:val="001F20F2"/>
    <w:rsid w:val="001F3312"/>
    <w:rsid w:val="001F3A4A"/>
    <w:rsid w:val="001F4891"/>
    <w:rsid w:val="001F51E0"/>
    <w:rsid w:val="001F56B9"/>
    <w:rsid w:val="001F6689"/>
    <w:rsid w:val="001F68B2"/>
    <w:rsid w:val="001F72E7"/>
    <w:rsid w:val="001F7E50"/>
    <w:rsid w:val="002004AE"/>
    <w:rsid w:val="00200B1C"/>
    <w:rsid w:val="00201A03"/>
    <w:rsid w:val="00201ACF"/>
    <w:rsid w:val="002023A0"/>
    <w:rsid w:val="00202AE7"/>
    <w:rsid w:val="00204225"/>
    <w:rsid w:val="00204387"/>
    <w:rsid w:val="00204DF3"/>
    <w:rsid w:val="00205923"/>
    <w:rsid w:val="0020670D"/>
    <w:rsid w:val="00206B35"/>
    <w:rsid w:val="002077B9"/>
    <w:rsid w:val="00207952"/>
    <w:rsid w:val="002101E7"/>
    <w:rsid w:val="00210354"/>
    <w:rsid w:val="00210B9E"/>
    <w:rsid w:val="00210FA1"/>
    <w:rsid w:val="00210FC0"/>
    <w:rsid w:val="002111E3"/>
    <w:rsid w:val="0021123C"/>
    <w:rsid w:val="0021141F"/>
    <w:rsid w:val="0021181F"/>
    <w:rsid w:val="002119C8"/>
    <w:rsid w:val="00211C4A"/>
    <w:rsid w:val="00211C5E"/>
    <w:rsid w:val="00212373"/>
    <w:rsid w:val="0021250B"/>
    <w:rsid w:val="00212513"/>
    <w:rsid w:val="00212685"/>
    <w:rsid w:val="00212C35"/>
    <w:rsid w:val="0021335D"/>
    <w:rsid w:val="002138EA"/>
    <w:rsid w:val="00213D49"/>
    <w:rsid w:val="00213EB0"/>
    <w:rsid w:val="002143B4"/>
    <w:rsid w:val="00214A3E"/>
    <w:rsid w:val="00214FBD"/>
    <w:rsid w:val="00216D2C"/>
    <w:rsid w:val="00216FA3"/>
    <w:rsid w:val="00217582"/>
    <w:rsid w:val="00217816"/>
    <w:rsid w:val="00217CFC"/>
    <w:rsid w:val="00220040"/>
    <w:rsid w:val="0022114C"/>
    <w:rsid w:val="00221A33"/>
    <w:rsid w:val="002223A7"/>
    <w:rsid w:val="00222897"/>
    <w:rsid w:val="00222FE8"/>
    <w:rsid w:val="002239D6"/>
    <w:rsid w:val="002245F2"/>
    <w:rsid w:val="002248E0"/>
    <w:rsid w:val="0022515A"/>
    <w:rsid w:val="00225381"/>
    <w:rsid w:val="00225854"/>
    <w:rsid w:val="00225F4B"/>
    <w:rsid w:val="00226185"/>
    <w:rsid w:val="00226599"/>
    <w:rsid w:val="00227462"/>
    <w:rsid w:val="00227C90"/>
    <w:rsid w:val="002301E9"/>
    <w:rsid w:val="00230636"/>
    <w:rsid w:val="00230B86"/>
    <w:rsid w:val="00230F0D"/>
    <w:rsid w:val="002317BF"/>
    <w:rsid w:val="00231CC7"/>
    <w:rsid w:val="00232B65"/>
    <w:rsid w:val="00233194"/>
    <w:rsid w:val="00235394"/>
    <w:rsid w:val="00235A9B"/>
    <w:rsid w:val="002362DC"/>
    <w:rsid w:val="00237055"/>
    <w:rsid w:val="00237173"/>
    <w:rsid w:val="002372B0"/>
    <w:rsid w:val="002372C4"/>
    <w:rsid w:val="00241A81"/>
    <w:rsid w:val="00241BD3"/>
    <w:rsid w:val="00241D4B"/>
    <w:rsid w:val="00243944"/>
    <w:rsid w:val="00243D18"/>
    <w:rsid w:val="00243F00"/>
    <w:rsid w:val="00244E45"/>
    <w:rsid w:val="00245B82"/>
    <w:rsid w:val="00245EEB"/>
    <w:rsid w:val="0024612D"/>
    <w:rsid w:val="0024674A"/>
    <w:rsid w:val="0025028C"/>
    <w:rsid w:val="002506F0"/>
    <w:rsid w:val="0025251E"/>
    <w:rsid w:val="00252D41"/>
    <w:rsid w:val="00252EB7"/>
    <w:rsid w:val="002535CC"/>
    <w:rsid w:val="00253B39"/>
    <w:rsid w:val="00253CC3"/>
    <w:rsid w:val="00253CD8"/>
    <w:rsid w:val="00253F87"/>
    <w:rsid w:val="00254652"/>
    <w:rsid w:val="002549FC"/>
    <w:rsid w:val="00255424"/>
    <w:rsid w:val="00256B5C"/>
    <w:rsid w:val="002570A5"/>
    <w:rsid w:val="00257500"/>
    <w:rsid w:val="002578FC"/>
    <w:rsid w:val="00260F10"/>
    <w:rsid w:val="0026179F"/>
    <w:rsid w:val="00261856"/>
    <w:rsid w:val="00263FAD"/>
    <w:rsid w:val="00264161"/>
    <w:rsid w:val="00264536"/>
    <w:rsid w:val="002653F5"/>
    <w:rsid w:val="00265616"/>
    <w:rsid w:val="00265893"/>
    <w:rsid w:val="002660D1"/>
    <w:rsid w:val="0026698C"/>
    <w:rsid w:val="00266CCF"/>
    <w:rsid w:val="002671F1"/>
    <w:rsid w:val="002701B2"/>
    <w:rsid w:val="002711CF"/>
    <w:rsid w:val="00272308"/>
    <w:rsid w:val="00274E1A"/>
    <w:rsid w:val="00275BD6"/>
    <w:rsid w:val="00275E1D"/>
    <w:rsid w:val="0027655F"/>
    <w:rsid w:val="00276F76"/>
    <w:rsid w:val="002770F4"/>
    <w:rsid w:val="00277B89"/>
    <w:rsid w:val="002801EF"/>
    <w:rsid w:val="00281609"/>
    <w:rsid w:val="002816CE"/>
    <w:rsid w:val="00281DFF"/>
    <w:rsid w:val="00282213"/>
    <w:rsid w:val="00282875"/>
    <w:rsid w:val="002829F3"/>
    <w:rsid w:val="00282AAE"/>
    <w:rsid w:val="00282AAF"/>
    <w:rsid w:val="00282C9C"/>
    <w:rsid w:val="00283282"/>
    <w:rsid w:val="002837AB"/>
    <w:rsid w:val="00284807"/>
    <w:rsid w:val="00284DFE"/>
    <w:rsid w:val="00285787"/>
    <w:rsid w:val="0028604D"/>
    <w:rsid w:val="002863A3"/>
    <w:rsid w:val="00286AA5"/>
    <w:rsid w:val="00286F1A"/>
    <w:rsid w:val="00287639"/>
    <w:rsid w:val="00287850"/>
    <w:rsid w:val="00287BC6"/>
    <w:rsid w:val="00287C8F"/>
    <w:rsid w:val="00287CE6"/>
    <w:rsid w:val="00290711"/>
    <w:rsid w:val="00290D7F"/>
    <w:rsid w:val="0029193E"/>
    <w:rsid w:val="00292870"/>
    <w:rsid w:val="0029299D"/>
    <w:rsid w:val="002945EC"/>
    <w:rsid w:val="002958B5"/>
    <w:rsid w:val="0029648A"/>
    <w:rsid w:val="0029741C"/>
    <w:rsid w:val="00297444"/>
    <w:rsid w:val="00297595"/>
    <w:rsid w:val="00297FB4"/>
    <w:rsid w:val="002A18CA"/>
    <w:rsid w:val="002A283C"/>
    <w:rsid w:val="002A2935"/>
    <w:rsid w:val="002A2B41"/>
    <w:rsid w:val="002A2D8B"/>
    <w:rsid w:val="002A4261"/>
    <w:rsid w:val="002A481B"/>
    <w:rsid w:val="002A4A9C"/>
    <w:rsid w:val="002A4ABB"/>
    <w:rsid w:val="002A4C60"/>
    <w:rsid w:val="002A5538"/>
    <w:rsid w:val="002A5D49"/>
    <w:rsid w:val="002A63E4"/>
    <w:rsid w:val="002A6450"/>
    <w:rsid w:val="002A6FE9"/>
    <w:rsid w:val="002A79E3"/>
    <w:rsid w:val="002B0495"/>
    <w:rsid w:val="002B1B3B"/>
    <w:rsid w:val="002B3450"/>
    <w:rsid w:val="002B3815"/>
    <w:rsid w:val="002B3A9A"/>
    <w:rsid w:val="002B419D"/>
    <w:rsid w:val="002B429C"/>
    <w:rsid w:val="002B42B6"/>
    <w:rsid w:val="002B59F6"/>
    <w:rsid w:val="002B6292"/>
    <w:rsid w:val="002B633A"/>
    <w:rsid w:val="002B6CEF"/>
    <w:rsid w:val="002B750D"/>
    <w:rsid w:val="002B7BC4"/>
    <w:rsid w:val="002B7BFF"/>
    <w:rsid w:val="002C034D"/>
    <w:rsid w:val="002C1102"/>
    <w:rsid w:val="002C14E8"/>
    <w:rsid w:val="002C207F"/>
    <w:rsid w:val="002C2A0D"/>
    <w:rsid w:val="002C350E"/>
    <w:rsid w:val="002C3EDF"/>
    <w:rsid w:val="002C3F4C"/>
    <w:rsid w:val="002C4BD8"/>
    <w:rsid w:val="002C4CC8"/>
    <w:rsid w:val="002C50B3"/>
    <w:rsid w:val="002C50B7"/>
    <w:rsid w:val="002C5296"/>
    <w:rsid w:val="002C5300"/>
    <w:rsid w:val="002C5795"/>
    <w:rsid w:val="002C64FA"/>
    <w:rsid w:val="002C74C0"/>
    <w:rsid w:val="002C7BBB"/>
    <w:rsid w:val="002D06F5"/>
    <w:rsid w:val="002D07DF"/>
    <w:rsid w:val="002D0FCD"/>
    <w:rsid w:val="002D1BF6"/>
    <w:rsid w:val="002D2760"/>
    <w:rsid w:val="002D2C39"/>
    <w:rsid w:val="002D2CA1"/>
    <w:rsid w:val="002D2F03"/>
    <w:rsid w:val="002D36ED"/>
    <w:rsid w:val="002D370C"/>
    <w:rsid w:val="002D402C"/>
    <w:rsid w:val="002D44AF"/>
    <w:rsid w:val="002D452F"/>
    <w:rsid w:val="002D4579"/>
    <w:rsid w:val="002D481B"/>
    <w:rsid w:val="002D483F"/>
    <w:rsid w:val="002D51F6"/>
    <w:rsid w:val="002D59A0"/>
    <w:rsid w:val="002D60FC"/>
    <w:rsid w:val="002D665F"/>
    <w:rsid w:val="002D69AB"/>
    <w:rsid w:val="002D79CF"/>
    <w:rsid w:val="002D7F63"/>
    <w:rsid w:val="002E00F1"/>
    <w:rsid w:val="002E0151"/>
    <w:rsid w:val="002E08D7"/>
    <w:rsid w:val="002E42E8"/>
    <w:rsid w:val="002E4368"/>
    <w:rsid w:val="002E46DB"/>
    <w:rsid w:val="002E562A"/>
    <w:rsid w:val="002E5799"/>
    <w:rsid w:val="002E5AB4"/>
    <w:rsid w:val="002E5D23"/>
    <w:rsid w:val="002E5EFC"/>
    <w:rsid w:val="002E6BC6"/>
    <w:rsid w:val="002E7386"/>
    <w:rsid w:val="002E7DE5"/>
    <w:rsid w:val="002F01C0"/>
    <w:rsid w:val="002F0261"/>
    <w:rsid w:val="002F030F"/>
    <w:rsid w:val="002F06C3"/>
    <w:rsid w:val="002F2B29"/>
    <w:rsid w:val="002F300C"/>
    <w:rsid w:val="002F3A8C"/>
    <w:rsid w:val="002F3BD7"/>
    <w:rsid w:val="002F4093"/>
    <w:rsid w:val="002F40CC"/>
    <w:rsid w:val="002F428E"/>
    <w:rsid w:val="002F4689"/>
    <w:rsid w:val="002F4798"/>
    <w:rsid w:val="002F63F6"/>
    <w:rsid w:val="002F75CD"/>
    <w:rsid w:val="002F79B6"/>
    <w:rsid w:val="002F7D09"/>
    <w:rsid w:val="002F7D50"/>
    <w:rsid w:val="003000A4"/>
    <w:rsid w:val="00300D2E"/>
    <w:rsid w:val="00300ED9"/>
    <w:rsid w:val="00301161"/>
    <w:rsid w:val="00302C96"/>
    <w:rsid w:val="00303A68"/>
    <w:rsid w:val="003042DC"/>
    <w:rsid w:val="003052DA"/>
    <w:rsid w:val="0030568D"/>
    <w:rsid w:val="00306410"/>
    <w:rsid w:val="003068AB"/>
    <w:rsid w:val="00306C60"/>
    <w:rsid w:val="003071FF"/>
    <w:rsid w:val="0030783F"/>
    <w:rsid w:val="003108C3"/>
    <w:rsid w:val="00311963"/>
    <w:rsid w:val="003120E8"/>
    <w:rsid w:val="00313089"/>
    <w:rsid w:val="003140CB"/>
    <w:rsid w:val="003143FE"/>
    <w:rsid w:val="00314A33"/>
    <w:rsid w:val="00315946"/>
    <w:rsid w:val="00315DFA"/>
    <w:rsid w:val="00316074"/>
    <w:rsid w:val="003168BC"/>
    <w:rsid w:val="00317201"/>
    <w:rsid w:val="00317783"/>
    <w:rsid w:val="003210CC"/>
    <w:rsid w:val="00321565"/>
    <w:rsid w:val="0032165D"/>
    <w:rsid w:val="003229B0"/>
    <w:rsid w:val="003230B0"/>
    <w:rsid w:val="003232A5"/>
    <w:rsid w:val="00323842"/>
    <w:rsid w:val="00323A3D"/>
    <w:rsid w:val="0032410B"/>
    <w:rsid w:val="0032423D"/>
    <w:rsid w:val="0032572A"/>
    <w:rsid w:val="00325AD5"/>
    <w:rsid w:val="00326B16"/>
    <w:rsid w:val="00326E16"/>
    <w:rsid w:val="00327864"/>
    <w:rsid w:val="00327DFB"/>
    <w:rsid w:val="003308D6"/>
    <w:rsid w:val="00330AB0"/>
    <w:rsid w:val="00331B14"/>
    <w:rsid w:val="00331F8D"/>
    <w:rsid w:val="00331F9B"/>
    <w:rsid w:val="00332F03"/>
    <w:rsid w:val="00334604"/>
    <w:rsid w:val="00334BFB"/>
    <w:rsid w:val="00335016"/>
    <w:rsid w:val="003365EC"/>
    <w:rsid w:val="003366B3"/>
    <w:rsid w:val="003373AA"/>
    <w:rsid w:val="003379C2"/>
    <w:rsid w:val="00337B5D"/>
    <w:rsid w:val="00337E39"/>
    <w:rsid w:val="003400DD"/>
    <w:rsid w:val="003401A3"/>
    <w:rsid w:val="00340510"/>
    <w:rsid w:val="00340BC3"/>
    <w:rsid w:val="003411C2"/>
    <w:rsid w:val="00342018"/>
    <w:rsid w:val="003420D9"/>
    <w:rsid w:val="003424EA"/>
    <w:rsid w:val="0034272D"/>
    <w:rsid w:val="00342AAB"/>
    <w:rsid w:val="00342F7A"/>
    <w:rsid w:val="00343440"/>
    <w:rsid w:val="00343488"/>
    <w:rsid w:val="0034452A"/>
    <w:rsid w:val="003448AE"/>
    <w:rsid w:val="00346419"/>
    <w:rsid w:val="00350A19"/>
    <w:rsid w:val="00350C71"/>
    <w:rsid w:val="00350E37"/>
    <w:rsid w:val="003540D1"/>
    <w:rsid w:val="00354EBB"/>
    <w:rsid w:val="0035550F"/>
    <w:rsid w:val="00355BF1"/>
    <w:rsid w:val="00356531"/>
    <w:rsid w:val="003567FF"/>
    <w:rsid w:val="003569A0"/>
    <w:rsid w:val="00356CF7"/>
    <w:rsid w:val="00356F3D"/>
    <w:rsid w:val="003579DB"/>
    <w:rsid w:val="00357DDA"/>
    <w:rsid w:val="00362614"/>
    <w:rsid w:val="003628F4"/>
    <w:rsid w:val="00362AF4"/>
    <w:rsid w:val="00362BD0"/>
    <w:rsid w:val="0036363F"/>
    <w:rsid w:val="00364521"/>
    <w:rsid w:val="003649CF"/>
    <w:rsid w:val="00364CFD"/>
    <w:rsid w:val="00364D8E"/>
    <w:rsid w:val="0036558C"/>
    <w:rsid w:val="00366DE5"/>
    <w:rsid w:val="00367724"/>
    <w:rsid w:val="00367D08"/>
    <w:rsid w:val="0037097E"/>
    <w:rsid w:val="00370A22"/>
    <w:rsid w:val="00370DA9"/>
    <w:rsid w:val="003719E6"/>
    <w:rsid w:val="00372979"/>
    <w:rsid w:val="0037331B"/>
    <w:rsid w:val="0037367E"/>
    <w:rsid w:val="00374308"/>
    <w:rsid w:val="00374652"/>
    <w:rsid w:val="00374948"/>
    <w:rsid w:val="003759C5"/>
    <w:rsid w:val="00375BF7"/>
    <w:rsid w:val="00376400"/>
    <w:rsid w:val="003770A4"/>
    <w:rsid w:val="00377B02"/>
    <w:rsid w:val="00377BDE"/>
    <w:rsid w:val="00380C4B"/>
    <w:rsid w:val="00380F82"/>
    <w:rsid w:val="00381282"/>
    <w:rsid w:val="003821CE"/>
    <w:rsid w:val="003826D3"/>
    <w:rsid w:val="00383AB5"/>
    <w:rsid w:val="00383FEE"/>
    <w:rsid w:val="0038417D"/>
    <w:rsid w:val="00384502"/>
    <w:rsid w:val="00384C4E"/>
    <w:rsid w:val="00384D9A"/>
    <w:rsid w:val="0038707B"/>
    <w:rsid w:val="00387499"/>
    <w:rsid w:val="00387B6C"/>
    <w:rsid w:val="003900CC"/>
    <w:rsid w:val="00393315"/>
    <w:rsid w:val="00394008"/>
    <w:rsid w:val="0039424B"/>
    <w:rsid w:val="003955C6"/>
    <w:rsid w:val="003969DE"/>
    <w:rsid w:val="00396FF9"/>
    <w:rsid w:val="003970D8"/>
    <w:rsid w:val="0039753F"/>
    <w:rsid w:val="003978CE"/>
    <w:rsid w:val="003A01A0"/>
    <w:rsid w:val="003A0227"/>
    <w:rsid w:val="003A0F5C"/>
    <w:rsid w:val="003A16D4"/>
    <w:rsid w:val="003A1B8E"/>
    <w:rsid w:val="003A2291"/>
    <w:rsid w:val="003A26FF"/>
    <w:rsid w:val="003A4D9C"/>
    <w:rsid w:val="003A5FA4"/>
    <w:rsid w:val="003A624E"/>
    <w:rsid w:val="003A6535"/>
    <w:rsid w:val="003A6C3C"/>
    <w:rsid w:val="003A6D18"/>
    <w:rsid w:val="003A73A3"/>
    <w:rsid w:val="003A7578"/>
    <w:rsid w:val="003A795C"/>
    <w:rsid w:val="003A79BF"/>
    <w:rsid w:val="003A7B4B"/>
    <w:rsid w:val="003A7FDA"/>
    <w:rsid w:val="003B006F"/>
    <w:rsid w:val="003B037E"/>
    <w:rsid w:val="003B0CDB"/>
    <w:rsid w:val="003B1C72"/>
    <w:rsid w:val="003B1CD7"/>
    <w:rsid w:val="003B2022"/>
    <w:rsid w:val="003B25A7"/>
    <w:rsid w:val="003B360D"/>
    <w:rsid w:val="003B5CC5"/>
    <w:rsid w:val="003B5E5E"/>
    <w:rsid w:val="003B6336"/>
    <w:rsid w:val="003B63FF"/>
    <w:rsid w:val="003B673D"/>
    <w:rsid w:val="003C0200"/>
    <w:rsid w:val="003C1581"/>
    <w:rsid w:val="003C245B"/>
    <w:rsid w:val="003C2562"/>
    <w:rsid w:val="003C265E"/>
    <w:rsid w:val="003C2B25"/>
    <w:rsid w:val="003C2DC1"/>
    <w:rsid w:val="003C3166"/>
    <w:rsid w:val="003C3C98"/>
    <w:rsid w:val="003C4DF7"/>
    <w:rsid w:val="003C4EFF"/>
    <w:rsid w:val="003C5525"/>
    <w:rsid w:val="003C70B8"/>
    <w:rsid w:val="003C7447"/>
    <w:rsid w:val="003C7C79"/>
    <w:rsid w:val="003C7C8A"/>
    <w:rsid w:val="003D0233"/>
    <w:rsid w:val="003D187B"/>
    <w:rsid w:val="003D1F33"/>
    <w:rsid w:val="003D2724"/>
    <w:rsid w:val="003D2960"/>
    <w:rsid w:val="003D352F"/>
    <w:rsid w:val="003D3659"/>
    <w:rsid w:val="003D36F0"/>
    <w:rsid w:val="003D3761"/>
    <w:rsid w:val="003D3D79"/>
    <w:rsid w:val="003D40E4"/>
    <w:rsid w:val="003D4535"/>
    <w:rsid w:val="003D4756"/>
    <w:rsid w:val="003D503D"/>
    <w:rsid w:val="003D5742"/>
    <w:rsid w:val="003D5DA3"/>
    <w:rsid w:val="003D64DB"/>
    <w:rsid w:val="003D64DF"/>
    <w:rsid w:val="003D716A"/>
    <w:rsid w:val="003D7BA7"/>
    <w:rsid w:val="003E040F"/>
    <w:rsid w:val="003E05F6"/>
    <w:rsid w:val="003E0B51"/>
    <w:rsid w:val="003E0FDC"/>
    <w:rsid w:val="003E1379"/>
    <w:rsid w:val="003E1760"/>
    <w:rsid w:val="003E1EDE"/>
    <w:rsid w:val="003E39EA"/>
    <w:rsid w:val="003E3A07"/>
    <w:rsid w:val="003E3E79"/>
    <w:rsid w:val="003E461D"/>
    <w:rsid w:val="003E4FFB"/>
    <w:rsid w:val="003E5CCF"/>
    <w:rsid w:val="003E5EAB"/>
    <w:rsid w:val="003E5F52"/>
    <w:rsid w:val="003E5FA4"/>
    <w:rsid w:val="003E6F93"/>
    <w:rsid w:val="003E7F4A"/>
    <w:rsid w:val="003F008E"/>
    <w:rsid w:val="003F04F5"/>
    <w:rsid w:val="003F1503"/>
    <w:rsid w:val="003F1B8C"/>
    <w:rsid w:val="003F23AF"/>
    <w:rsid w:val="003F2718"/>
    <w:rsid w:val="003F2A81"/>
    <w:rsid w:val="003F32A4"/>
    <w:rsid w:val="003F339A"/>
    <w:rsid w:val="003F3D1A"/>
    <w:rsid w:val="003F44A6"/>
    <w:rsid w:val="003F4549"/>
    <w:rsid w:val="003F4ABC"/>
    <w:rsid w:val="003F515B"/>
    <w:rsid w:val="003F5466"/>
    <w:rsid w:val="003F5D2A"/>
    <w:rsid w:val="003F61EF"/>
    <w:rsid w:val="003F62C1"/>
    <w:rsid w:val="003F6410"/>
    <w:rsid w:val="003F652E"/>
    <w:rsid w:val="00401562"/>
    <w:rsid w:val="00402400"/>
    <w:rsid w:val="004028D4"/>
    <w:rsid w:val="00402A03"/>
    <w:rsid w:val="0040300D"/>
    <w:rsid w:val="0040382B"/>
    <w:rsid w:val="0040417D"/>
    <w:rsid w:val="00404575"/>
    <w:rsid w:val="004048A8"/>
    <w:rsid w:val="004048BE"/>
    <w:rsid w:val="004049D1"/>
    <w:rsid w:val="00405657"/>
    <w:rsid w:val="00405B35"/>
    <w:rsid w:val="00405CA4"/>
    <w:rsid w:val="00406472"/>
    <w:rsid w:val="00407387"/>
    <w:rsid w:val="0041057F"/>
    <w:rsid w:val="00410598"/>
    <w:rsid w:val="00411B59"/>
    <w:rsid w:val="00412251"/>
    <w:rsid w:val="0041342A"/>
    <w:rsid w:val="00413680"/>
    <w:rsid w:val="004136AE"/>
    <w:rsid w:val="00413D74"/>
    <w:rsid w:val="0041441E"/>
    <w:rsid w:val="004145EC"/>
    <w:rsid w:val="004148A9"/>
    <w:rsid w:val="00415DFC"/>
    <w:rsid w:val="0041688B"/>
    <w:rsid w:val="00417624"/>
    <w:rsid w:val="004176A9"/>
    <w:rsid w:val="00417C8D"/>
    <w:rsid w:val="004200D3"/>
    <w:rsid w:val="004202F1"/>
    <w:rsid w:val="004226BB"/>
    <w:rsid w:val="00422843"/>
    <w:rsid w:val="00422A70"/>
    <w:rsid w:val="00422D48"/>
    <w:rsid w:val="0042305C"/>
    <w:rsid w:val="00423376"/>
    <w:rsid w:val="00423631"/>
    <w:rsid w:val="00423880"/>
    <w:rsid w:val="00423C66"/>
    <w:rsid w:val="00424ED4"/>
    <w:rsid w:val="00425CB0"/>
    <w:rsid w:val="00427BA1"/>
    <w:rsid w:val="00427DBF"/>
    <w:rsid w:val="00430858"/>
    <w:rsid w:val="00430B17"/>
    <w:rsid w:val="004310C7"/>
    <w:rsid w:val="0043145F"/>
    <w:rsid w:val="004317EB"/>
    <w:rsid w:val="0043239D"/>
    <w:rsid w:val="00432507"/>
    <w:rsid w:val="004334B2"/>
    <w:rsid w:val="0043351F"/>
    <w:rsid w:val="00433CAE"/>
    <w:rsid w:val="00433CBE"/>
    <w:rsid w:val="00436340"/>
    <w:rsid w:val="00436526"/>
    <w:rsid w:val="00436D84"/>
    <w:rsid w:val="00437004"/>
    <w:rsid w:val="004370B2"/>
    <w:rsid w:val="004374C9"/>
    <w:rsid w:val="0044071D"/>
    <w:rsid w:val="00441979"/>
    <w:rsid w:val="004437C9"/>
    <w:rsid w:val="00444225"/>
    <w:rsid w:val="00445890"/>
    <w:rsid w:val="00445D09"/>
    <w:rsid w:val="00445D1B"/>
    <w:rsid w:val="00446059"/>
    <w:rsid w:val="00446840"/>
    <w:rsid w:val="004471DD"/>
    <w:rsid w:val="00447BC0"/>
    <w:rsid w:val="00447BDC"/>
    <w:rsid w:val="004500C2"/>
    <w:rsid w:val="004502EA"/>
    <w:rsid w:val="00450B12"/>
    <w:rsid w:val="004514FF"/>
    <w:rsid w:val="00451978"/>
    <w:rsid w:val="0045274D"/>
    <w:rsid w:val="00452AF3"/>
    <w:rsid w:val="004538E8"/>
    <w:rsid w:val="004539A7"/>
    <w:rsid w:val="00454F89"/>
    <w:rsid w:val="00455D05"/>
    <w:rsid w:val="0045600E"/>
    <w:rsid w:val="004569C0"/>
    <w:rsid w:val="00456BEA"/>
    <w:rsid w:val="004570C3"/>
    <w:rsid w:val="00457422"/>
    <w:rsid w:val="004575FA"/>
    <w:rsid w:val="00457680"/>
    <w:rsid w:val="00457C47"/>
    <w:rsid w:val="00457F70"/>
    <w:rsid w:val="0046051B"/>
    <w:rsid w:val="00460EB9"/>
    <w:rsid w:val="00462A27"/>
    <w:rsid w:val="00462E26"/>
    <w:rsid w:val="0046357F"/>
    <w:rsid w:val="004639A0"/>
    <w:rsid w:val="00464387"/>
    <w:rsid w:val="00464809"/>
    <w:rsid w:val="00465007"/>
    <w:rsid w:val="004652DB"/>
    <w:rsid w:val="004654E7"/>
    <w:rsid w:val="00465ABB"/>
    <w:rsid w:val="004663AF"/>
    <w:rsid w:val="004669E9"/>
    <w:rsid w:val="004707C7"/>
    <w:rsid w:val="004709CC"/>
    <w:rsid w:val="004714C0"/>
    <w:rsid w:val="0047163F"/>
    <w:rsid w:val="004716B4"/>
    <w:rsid w:val="00471B1E"/>
    <w:rsid w:val="00472056"/>
    <w:rsid w:val="00472A0F"/>
    <w:rsid w:val="00473494"/>
    <w:rsid w:val="00473DFE"/>
    <w:rsid w:val="0047478B"/>
    <w:rsid w:val="00474A93"/>
    <w:rsid w:val="00475A4B"/>
    <w:rsid w:val="00476407"/>
    <w:rsid w:val="004764AA"/>
    <w:rsid w:val="00476FC9"/>
    <w:rsid w:val="0047735E"/>
    <w:rsid w:val="004775E3"/>
    <w:rsid w:val="00477D7C"/>
    <w:rsid w:val="00480732"/>
    <w:rsid w:val="0048110A"/>
    <w:rsid w:val="00481611"/>
    <w:rsid w:val="0048179B"/>
    <w:rsid w:val="00481B8C"/>
    <w:rsid w:val="004825DC"/>
    <w:rsid w:val="00482CB5"/>
    <w:rsid w:val="00482CF8"/>
    <w:rsid w:val="00483716"/>
    <w:rsid w:val="004841C4"/>
    <w:rsid w:val="00484428"/>
    <w:rsid w:val="00484F95"/>
    <w:rsid w:val="00485876"/>
    <w:rsid w:val="00486E44"/>
    <w:rsid w:val="004870AD"/>
    <w:rsid w:val="00487211"/>
    <w:rsid w:val="00487CBA"/>
    <w:rsid w:val="00492D93"/>
    <w:rsid w:val="004930EC"/>
    <w:rsid w:val="0049317F"/>
    <w:rsid w:val="00493E55"/>
    <w:rsid w:val="00493E7C"/>
    <w:rsid w:val="00494125"/>
    <w:rsid w:val="004944F1"/>
    <w:rsid w:val="004946DD"/>
    <w:rsid w:val="004948C8"/>
    <w:rsid w:val="00494954"/>
    <w:rsid w:val="00494C54"/>
    <w:rsid w:val="0049553C"/>
    <w:rsid w:val="00495D3D"/>
    <w:rsid w:val="00495D94"/>
    <w:rsid w:val="00496937"/>
    <w:rsid w:val="00496C45"/>
    <w:rsid w:val="00496D4E"/>
    <w:rsid w:val="00497A62"/>
    <w:rsid w:val="00497D93"/>
    <w:rsid w:val="00497F3B"/>
    <w:rsid w:val="004A07B6"/>
    <w:rsid w:val="004A12DA"/>
    <w:rsid w:val="004A146B"/>
    <w:rsid w:val="004A1554"/>
    <w:rsid w:val="004A17C7"/>
    <w:rsid w:val="004A215D"/>
    <w:rsid w:val="004A2579"/>
    <w:rsid w:val="004A281A"/>
    <w:rsid w:val="004A2BC7"/>
    <w:rsid w:val="004A42A5"/>
    <w:rsid w:val="004A4877"/>
    <w:rsid w:val="004A4F82"/>
    <w:rsid w:val="004A50B2"/>
    <w:rsid w:val="004A6221"/>
    <w:rsid w:val="004A6365"/>
    <w:rsid w:val="004A6A03"/>
    <w:rsid w:val="004A76CC"/>
    <w:rsid w:val="004B1DA9"/>
    <w:rsid w:val="004B24DF"/>
    <w:rsid w:val="004B253D"/>
    <w:rsid w:val="004B26E9"/>
    <w:rsid w:val="004B270A"/>
    <w:rsid w:val="004B2EFF"/>
    <w:rsid w:val="004B2F50"/>
    <w:rsid w:val="004B3C4D"/>
    <w:rsid w:val="004B4B92"/>
    <w:rsid w:val="004B5C7C"/>
    <w:rsid w:val="004B65B3"/>
    <w:rsid w:val="004B66E0"/>
    <w:rsid w:val="004B77ED"/>
    <w:rsid w:val="004B7879"/>
    <w:rsid w:val="004B7F06"/>
    <w:rsid w:val="004C0650"/>
    <w:rsid w:val="004C151B"/>
    <w:rsid w:val="004C1FED"/>
    <w:rsid w:val="004C25CC"/>
    <w:rsid w:val="004C334B"/>
    <w:rsid w:val="004C3E55"/>
    <w:rsid w:val="004C4D28"/>
    <w:rsid w:val="004C58A6"/>
    <w:rsid w:val="004C5CF4"/>
    <w:rsid w:val="004C6020"/>
    <w:rsid w:val="004C62B3"/>
    <w:rsid w:val="004C65C9"/>
    <w:rsid w:val="004D0DFF"/>
    <w:rsid w:val="004D0F23"/>
    <w:rsid w:val="004D1531"/>
    <w:rsid w:val="004D1A5C"/>
    <w:rsid w:val="004D1BEE"/>
    <w:rsid w:val="004D1C34"/>
    <w:rsid w:val="004D2D87"/>
    <w:rsid w:val="004D33A7"/>
    <w:rsid w:val="004D340B"/>
    <w:rsid w:val="004D43D5"/>
    <w:rsid w:val="004D578D"/>
    <w:rsid w:val="004D658B"/>
    <w:rsid w:val="004D69A7"/>
    <w:rsid w:val="004D6FBF"/>
    <w:rsid w:val="004D72D5"/>
    <w:rsid w:val="004E031E"/>
    <w:rsid w:val="004E13F4"/>
    <w:rsid w:val="004E23DE"/>
    <w:rsid w:val="004E2475"/>
    <w:rsid w:val="004E304D"/>
    <w:rsid w:val="004E34D9"/>
    <w:rsid w:val="004E34F7"/>
    <w:rsid w:val="004E3899"/>
    <w:rsid w:val="004E38D7"/>
    <w:rsid w:val="004E4003"/>
    <w:rsid w:val="004E500C"/>
    <w:rsid w:val="004E5190"/>
    <w:rsid w:val="004E5B41"/>
    <w:rsid w:val="004E65D2"/>
    <w:rsid w:val="004E7758"/>
    <w:rsid w:val="004F0040"/>
    <w:rsid w:val="004F03DF"/>
    <w:rsid w:val="004F08EB"/>
    <w:rsid w:val="004F0A78"/>
    <w:rsid w:val="004F0B5D"/>
    <w:rsid w:val="004F10A4"/>
    <w:rsid w:val="004F1A35"/>
    <w:rsid w:val="004F3E4C"/>
    <w:rsid w:val="004F467B"/>
    <w:rsid w:val="004F4EED"/>
    <w:rsid w:val="004F59A8"/>
    <w:rsid w:val="004F5AB7"/>
    <w:rsid w:val="004F5F05"/>
    <w:rsid w:val="004F74EA"/>
    <w:rsid w:val="004F75CE"/>
    <w:rsid w:val="005002EC"/>
    <w:rsid w:val="00501255"/>
    <w:rsid w:val="00501517"/>
    <w:rsid w:val="00501A01"/>
    <w:rsid w:val="00501D6C"/>
    <w:rsid w:val="005020C6"/>
    <w:rsid w:val="00502160"/>
    <w:rsid w:val="00503690"/>
    <w:rsid w:val="00503834"/>
    <w:rsid w:val="00503C68"/>
    <w:rsid w:val="00504C1D"/>
    <w:rsid w:val="00505B0D"/>
    <w:rsid w:val="00505BFA"/>
    <w:rsid w:val="00505E26"/>
    <w:rsid w:val="005062AF"/>
    <w:rsid w:val="00506586"/>
    <w:rsid w:val="00507442"/>
    <w:rsid w:val="005111CD"/>
    <w:rsid w:val="005115DF"/>
    <w:rsid w:val="005119F4"/>
    <w:rsid w:val="005123C7"/>
    <w:rsid w:val="0051286B"/>
    <w:rsid w:val="005133FE"/>
    <w:rsid w:val="0051357D"/>
    <w:rsid w:val="005137E6"/>
    <w:rsid w:val="00513C96"/>
    <w:rsid w:val="00513D42"/>
    <w:rsid w:val="00513E1C"/>
    <w:rsid w:val="0051408F"/>
    <w:rsid w:val="00514FAE"/>
    <w:rsid w:val="00517810"/>
    <w:rsid w:val="00517F35"/>
    <w:rsid w:val="00520147"/>
    <w:rsid w:val="005203DE"/>
    <w:rsid w:val="00520435"/>
    <w:rsid w:val="0052180F"/>
    <w:rsid w:val="00521FFC"/>
    <w:rsid w:val="00522A71"/>
    <w:rsid w:val="00522B4D"/>
    <w:rsid w:val="00523569"/>
    <w:rsid w:val="0052396B"/>
    <w:rsid w:val="00523A04"/>
    <w:rsid w:val="00523E17"/>
    <w:rsid w:val="00525243"/>
    <w:rsid w:val="00525387"/>
    <w:rsid w:val="005259DC"/>
    <w:rsid w:val="00525F10"/>
    <w:rsid w:val="00525F19"/>
    <w:rsid w:val="0052646B"/>
    <w:rsid w:val="005265BC"/>
    <w:rsid w:val="00526946"/>
    <w:rsid w:val="00526E7E"/>
    <w:rsid w:val="00526ECB"/>
    <w:rsid w:val="0052731E"/>
    <w:rsid w:val="0052734A"/>
    <w:rsid w:val="00527B81"/>
    <w:rsid w:val="00527DAE"/>
    <w:rsid w:val="005303DB"/>
    <w:rsid w:val="005307D3"/>
    <w:rsid w:val="00530A13"/>
    <w:rsid w:val="00530F0C"/>
    <w:rsid w:val="005315A5"/>
    <w:rsid w:val="005329D8"/>
    <w:rsid w:val="00532CDA"/>
    <w:rsid w:val="00532E85"/>
    <w:rsid w:val="00533247"/>
    <w:rsid w:val="00533AF3"/>
    <w:rsid w:val="005359E5"/>
    <w:rsid w:val="00535F75"/>
    <w:rsid w:val="00536AB5"/>
    <w:rsid w:val="005400D0"/>
    <w:rsid w:val="005406D9"/>
    <w:rsid w:val="00540D25"/>
    <w:rsid w:val="00540F45"/>
    <w:rsid w:val="00541287"/>
    <w:rsid w:val="005412AC"/>
    <w:rsid w:val="00541802"/>
    <w:rsid w:val="00541CFA"/>
    <w:rsid w:val="00541E94"/>
    <w:rsid w:val="0054246A"/>
    <w:rsid w:val="00542989"/>
    <w:rsid w:val="005437AD"/>
    <w:rsid w:val="00543B75"/>
    <w:rsid w:val="005444CC"/>
    <w:rsid w:val="00545207"/>
    <w:rsid w:val="0054558D"/>
    <w:rsid w:val="00547319"/>
    <w:rsid w:val="00547E78"/>
    <w:rsid w:val="005503FC"/>
    <w:rsid w:val="00550785"/>
    <w:rsid w:val="00550EDA"/>
    <w:rsid w:val="00550F15"/>
    <w:rsid w:val="00551AE2"/>
    <w:rsid w:val="00551B47"/>
    <w:rsid w:val="00552360"/>
    <w:rsid w:val="0055302F"/>
    <w:rsid w:val="005534EE"/>
    <w:rsid w:val="0055373C"/>
    <w:rsid w:val="00553BB2"/>
    <w:rsid w:val="00554FBF"/>
    <w:rsid w:val="0055550D"/>
    <w:rsid w:val="00555E35"/>
    <w:rsid w:val="00556728"/>
    <w:rsid w:val="00556A55"/>
    <w:rsid w:val="00557542"/>
    <w:rsid w:val="00560301"/>
    <w:rsid w:val="00561966"/>
    <w:rsid w:val="00561C34"/>
    <w:rsid w:val="00562F39"/>
    <w:rsid w:val="00563111"/>
    <w:rsid w:val="00564539"/>
    <w:rsid w:val="00565786"/>
    <w:rsid w:val="00566816"/>
    <w:rsid w:val="0056765E"/>
    <w:rsid w:val="00567E17"/>
    <w:rsid w:val="00572379"/>
    <w:rsid w:val="005724AC"/>
    <w:rsid w:val="00573F8E"/>
    <w:rsid w:val="00575876"/>
    <w:rsid w:val="005766AA"/>
    <w:rsid w:val="00577349"/>
    <w:rsid w:val="00577842"/>
    <w:rsid w:val="00577FBA"/>
    <w:rsid w:val="00580009"/>
    <w:rsid w:val="00580522"/>
    <w:rsid w:val="005806AA"/>
    <w:rsid w:val="00580EF2"/>
    <w:rsid w:val="00582288"/>
    <w:rsid w:val="00584D0C"/>
    <w:rsid w:val="005856A4"/>
    <w:rsid w:val="005860E1"/>
    <w:rsid w:val="0058668B"/>
    <w:rsid w:val="0058674B"/>
    <w:rsid w:val="00586756"/>
    <w:rsid w:val="005868A8"/>
    <w:rsid w:val="00586BDE"/>
    <w:rsid w:val="005878A5"/>
    <w:rsid w:val="00591048"/>
    <w:rsid w:val="005917CD"/>
    <w:rsid w:val="00592323"/>
    <w:rsid w:val="00592A4C"/>
    <w:rsid w:val="005933DC"/>
    <w:rsid w:val="00593513"/>
    <w:rsid w:val="005937DC"/>
    <w:rsid w:val="00593800"/>
    <w:rsid w:val="005949C5"/>
    <w:rsid w:val="00594D66"/>
    <w:rsid w:val="0059556B"/>
    <w:rsid w:val="0059596C"/>
    <w:rsid w:val="00595B59"/>
    <w:rsid w:val="005963A5"/>
    <w:rsid w:val="00597310"/>
    <w:rsid w:val="005A017E"/>
    <w:rsid w:val="005A023B"/>
    <w:rsid w:val="005A0429"/>
    <w:rsid w:val="005A12D6"/>
    <w:rsid w:val="005A17B1"/>
    <w:rsid w:val="005A19D6"/>
    <w:rsid w:val="005A320F"/>
    <w:rsid w:val="005A4E90"/>
    <w:rsid w:val="005A5A8D"/>
    <w:rsid w:val="005A6683"/>
    <w:rsid w:val="005A67C9"/>
    <w:rsid w:val="005B0394"/>
    <w:rsid w:val="005B0E9C"/>
    <w:rsid w:val="005B193D"/>
    <w:rsid w:val="005B1F15"/>
    <w:rsid w:val="005B3300"/>
    <w:rsid w:val="005B36EB"/>
    <w:rsid w:val="005B3BFD"/>
    <w:rsid w:val="005B3E23"/>
    <w:rsid w:val="005B3F53"/>
    <w:rsid w:val="005B420B"/>
    <w:rsid w:val="005B43AC"/>
    <w:rsid w:val="005B4416"/>
    <w:rsid w:val="005B45BA"/>
    <w:rsid w:val="005B4EE5"/>
    <w:rsid w:val="005B5063"/>
    <w:rsid w:val="005B50C1"/>
    <w:rsid w:val="005B5C1C"/>
    <w:rsid w:val="005B6CBF"/>
    <w:rsid w:val="005B7BAE"/>
    <w:rsid w:val="005C019D"/>
    <w:rsid w:val="005C087F"/>
    <w:rsid w:val="005C0B3B"/>
    <w:rsid w:val="005C1447"/>
    <w:rsid w:val="005C3579"/>
    <w:rsid w:val="005C35E7"/>
    <w:rsid w:val="005C453E"/>
    <w:rsid w:val="005C4CA3"/>
    <w:rsid w:val="005C4E15"/>
    <w:rsid w:val="005C4F05"/>
    <w:rsid w:val="005C6328"/>
    <w:rsid w:val="005C6F72"/>
    <w:rsid w:val="005C70D3"/>
    <w:rsid w:val="005C74BE"/>
    <w:rsid w:val="005C7CB5"/>
    <w:rsid w:val="005D0012"/>
    <w:rsid w:val="005D1160"/>
    <w:rsid w:val="005D1380"/>
    <w:rsid w:val="005D13DE"/>
    <w:rsid w:val="005D2673"/>
    <w:rsid w:val="005D2D99"/>
    <w:rsid w:val="005D3059"/>
    <w:rsid w:val="005D397A"/>
    <w:rsid w:val="005D3F85"/>
    <w:rsid w:val="005D443F"/>
    <w:rsid w:val="005D456D"/>
    <w:rsid w:val="005D47F0"/>
    <w:rsid w:val="005D4C01"/>
    <w:rsid w:val="005D4EB5"/>
    <w:rsid w:val="005D52CB"/>
    <w:rsid w:val="005D5B3B"/>
    <w:rsid w:val="005D7827"/>
    <w:rsid w:val="005E0178"/>
    <w:rsid w:val="005E0BE2"/>
    <w:rsid w:val="005E0DCD"/>
    <w:rsid w:val="005E128D"/>
    <w:rsid w:val="005E4724"/>
    <w:rsid w:val="005E52CA"/>
    <w:rsid w:val="005E5985"/>
    <w:rsid w:val="005E5F37"/>
    <w:rsid w:val="005E7768"/>
    <w:rsid w:val="005E7E39"/>
    <w:rsid w:val="005F04B5"/>
    <w:rsid w:val="005F1DB7"/>
    <w:rsid w:val="005F29FC"/>
    <w:rsid w:val="005F3439"/>
    <w:rsid w:val="005F42DF"/>
    <w:rsid w:val="005F4874"/>
    <w:rsid w:val="005F4F57"/>
    <w:rsid w:val="005F55A3"/>
    <w:rsid w:val="005F55F8"/>
    <w:rsid w:val="005F563C"/>
    <w:rsid w:val="005F57B4"/>
    <w:rsid w:val="005F5AF8"/>
    <w:rsid w:val="005F5C54"/>
    <w:rsid w:val="005F5E1A"/>
    <w:rsid w:val="005F6DBA"/>
    <w:rsid w:val="005F79E5"/>
    <w:rsid w:val="005F7EA5"/>
    <w:rsid w:val="00600115"/>
    <w:rsid w:val="006002C5"/>
    <w:rsid w:val="006003DF"/>
    <w:rsid w:val="00600757"/>
    <w:rsid w:val="00600AD1"/>
    <w:rsid w:val="00600D55"/>
    <w:rsid w:val="00601791"/>
    <w:rsid w:val="00601BCD"/>
    <w:rsid w:val="00602B8F"/>
    <w:rsid w:val="006033BC"/>
    <w:rsid w:val="00603A63"/>
    <w:rsid w:val="00604482"/>
    <w:rsid w:val="0060469B"/>
    <w:rsid w:val="00604A58"/>
    <w:rsid w:val="00605FAE"/>
    <w:rsid w:val="006069BB"/>
    <w:rsid w:val="00606ABB"/>
    <w:rsid w:val="0060712C"/>
    <w:rsid w:val="006074EF"/>
    <w:rsid w:val="0060757B"/>
    <w:rsid w:val="00607B3F"/>
    <w:rsid w:val="00607FC1"/>
    <w:rsid w:val="0061035E"/>
    <w:rsid w:val="00610721"/>
    <w:rsid w:val="00610FCF"/>
    <w:rsid w:val="0061230B"/>
    <w:rsid w:val="006139A1"/>
    <w:rsid w:val="0061438C"/>
    <w:rsid w:val="00614522"/>
    <w:rsid w:val="00614C5E"/>
    <w:rsid w:val="00615DE1"/>
    <w:rsid w:val="00616EC6"/>
    <w:rsid w:val="00617472"/>
    <w:rsid w:val="00617873"/>
    <w:rsid w:val="006206A0"/>
    <w:rsid w:val="00620F88"/>
    <w:rsid w:val="00621321"/>
    <w:rsid w:val="00622066"/>
    <w:rsid w:val="006226BC"/>
    <w:rsid w:val="00622DF0"/>
    <w:rsid w:val="00624011"/>
    <w:rsid w:val="0062506F"/>
    <w:rsid w:val="006258A4"/>
    <w:rsid w:val="00626655"/>
    <w:rsid w:val="006266FF"/>
    <w:rsid w:val="0063019F"/>
    <w:rsid w:val="0063052A"/>
    <w:rsid w:val="00630642"/>
    <w:rsid w:val="00630E70"/>
    <w:rsid w:val="00630F44"/>
    <w:rsid w:val="00631D63"/>
    <w:rsid w:val="006320EF"/>
    <w:rsid w:val="00632C17"/>
    <w:rsid w:val="00634B46"/>
    <w:rsid w:val="0063510B"/>
    <w:rsid w:val="006353D8"/>
    <w:rsid w:val="00635E55"/>
    <w:rsid w:val="006368A4"/>
    <w:rsid w:val="00636BCC"/>
    <w:rsid w:val="006407AD"/>
    <w:rsid w:val="006409D7"/>
    <w:rsid w:val="00642655"/>
    <w:rsid w:val="006428A0"/>
    <w:rsid w:val="00643143"/>
    <w:rsid w:val="006442B9"/>
    <w:rsid w:val="0064474D"/>
    <w:rsid w:val="00644DBB"/>
    <w:rsid w:val="00644E5A"/>
    <w:rsid w:val="00646C17"/>
    <w:rsid w:val="006473E3"/>
    <w:rsid w:val="006478A7"/>
    <w:rsid w:val="00647BAC"/>
    <w:rsid w:val="00650FAF"/>
    <w:rsid w:val="006514B9"/>
    <w:rsid w:val="006517D0"/>
    <w:rsid w:val="00652590"/>
    <w:rsid w:val="006525CF"/>
    <w:rsid w:val="0065310A"/>
    <w:rsid w:val="006540F5"/>
    <w:rsid w:val="00654F63"/>
    <w:rsid w:val="00654F94"/>
    <w:rsid w:val="0065544C"/>
    <w:rsid w:val="006556ED"/>
    <w:rsid w:val="006557C0"/>
    <w:rsid w:val="00655D8B"/>
    <w:rsid w:val="00655E47"/>
    <w:rsid w:val="006565A2"/>
    <w:rsid w:val="0065689E"/>
    <w:rsid w:val="00656D64"/>
    <w:rsid w:val="0065702D"/>
    <w:rsid w:val="00657372"/>
    <w:rsid w:val="00657591"/>
    <w:rsid w:val="006604F5"/>
    <w:rsid w:val="0066086B"/>
    <w:rsid w:val="00660B3F"/>
    <w:rsid w:val="00660F34"/>
    <w:rsid w:val="00661B7C"/>
    <w:rsid w:val="00662682"/>
    <w:rsid w:val="0066275E"/>
    <w:rsid w:val="00662E47"/>
    <w:rsid w:val="00662EAB"/>
    <w:rsid w:val="006632EC"/>
    <w:rsid w:val="0066338C"/>
    <w:rsid w:val="00663C2D"/>
    <w:rsid w:val="00663D41"/>
    <w:rsid w:val="0066405C"/>
    <w:rsid w:val="00664194"/>
    <w:rsid w:val="00664E35"/>
    <w:rsid w:val="00665A62"/>
    <w:rsid w:val="00665B59"/>
    <w:rsid w:val="00665C04"/>
    <w:rsid w:val="00666664"/>
    <w:rsid w:val="0066734B"/>
    <w:rsid w:val="006679A5"/>
    <w:rsid w:val="00670166"/>
    <w:rsid w:val="00671093"/>
    <w:rsid w:val="00671891"/>
    <w:rsid w:val="00671A3E"/>
    <w:rsid w:val="00671BEF"/>
    <w:rsid w:val="006726BA"/>
    <w:rsid w:val="0067285B"/>
    <w:rsid w:val="0067473B"/>
    <w:rsid w:val="00674C3D"/>
    <w:rsid w:val="00674DA1"/>
    <w:rsid w:val="00675AB9"/>
    <w:rsid w:val="00675E39"/>
    <w:rsid w:val="0067661E"/>
    <w:rsid w:val="00676F9F"/>
    <w:rsid w:val="00677D93"/>
    <w:rsid w:val="00680B34"/>
    <w:rsid w:val="006824FB"/>
    <w:rsid w:val="0068259C"/>
    <w:rsid w:val="0068272F"/>
    <w:rsid w:val="00683954"/>
    <w:rsid w:val="00683EB8"/>
    <w:rsid w:val="00684722"/>
    <w:rsid w:val="0068496A"/>
    <w:rsid w:val="00684B13"/>
    <w:rsid w:val="0068582A"/>
    <w:rsid w:val="0068602C"/>
    <w:rsid w:val="0068666D"/>
    <w:rsid w:val="006904BC"/>
    <w:rsid w:val="00690930"/>
    <w:rsid w:val="00690EB8"/>
    <w:rsid w:val="006915F8"/>
    <w:rsid w:val="00692002"/>
    <w:rsid w:val="00692087"/>
    <w:rsid w:val="00692334"/>
    <w:rsid w:val="00692B52"/>
    <w:rsid w:val="00692E9E"/>
    <w:rsid w:val="00694249"/>
    <w:rsid w:val="006943BF"/>
    <w:rsid w:val="00694506"/>
    <w:rsid w:val="006945D8"/>
    <w:rsid w:val="006948D3"/>
    <w:rsid w:val="0069719E"/>
    <w:rsid w:val="006974B2"/>
    <w:rsid w:val="006A1D86"/>
    <w:rsid w:val="006A2200"/>
    <w:rsid w:val="006A2C80"/>
    <w:rsid w:val="006A323E"/>
    <w:rsid w:val="006A3A52"/>
    <w:rsid w:val="006A3B10"/>
    <w:rsid w:val="006A3B97"/>
    <w:rsid w:val="006A4F67"/>
    <w:rsid w:val="006A5938"/>
    <w:rsid w:val="006A59D3"/>
    <w:rsid w:val="006A74FF"/>
    <w:rsid w:val="006B0536"/>
    <w:rsid w:val="006B0B8C"/>
    <w:rsid w:val="006B10F8"/>
    <w:rsid w:val="006B1717"/>
    <w:rsid w:val="006B1E50"/>
    <w:rsid w:val="006B2F94"/>
    <w:rsid w:val="006B3667"/>
    <w:rsid w:val="006B368E"/>
    <w:rsid w:val="006B3C70"/>
    <w:rsid w:val="006B4510"/>
    <w:rsid w:val="006B4D0D"/>
    <w:rsid w:val="006B55E8"/>
    <w:rsid w:val="006B65E2"/>
    <w:rsid w:val="006B721C"/>
    <w:rsid w:val="006B737D"/>
    <w:rsid w:val="006C021D"/>
    <w:rsid w:val="006C037F"/>
    <w:rsid w:val="006C08AD"/>
    <w:rsid w:val="006C09A1"/>
    <w:rsid w:val="006C0C20"/>
    <w:rsid w:val="006C1354"/>
    <w:rsid w:val="006C1A9C"/>
    <w:rsid w:val="006C1EEC"/>
    <w:rsid w:val="006C2046"/>
    <w:rsid w:val="006C285A"/>
    <w:rsid w:val="006C3E68"/>
    <w:rsid w:val="006C41A2"/>
    <w:rsid w:val="006C46DB"/>
    <w:rsid w:val="006C548B"/>
    <w:rsid w:val="006C5991"/>
    <w:rsid w:val="006C5AA9"/>
    <w:rsid w:val="006C5BC1"/>
    <w:rsid w:val="006C6759"/>
    <w:rsid w:val="006C6F17"/>
    <w:rsid w:val="006C7020"/>
    <w:rsid w:val="006C7A36"/>
    <w:rsid w:val="006C7CF2"/>
    <w:rsid w:val="006C7D3A"/>
    <w:rsid w:val="006D045A"/>
    <w:rsid w:val="006D10DE"/>
    <w:rsid w:val="006D1231"/>
    <w:rsid w:val="006D14E8"/>
    <w:rsid w:val="006D1DCD"/>
    <w:rsid w:val="006D1E99"/>
    <w:rsid w:val="006D24CA"/>
    <w:rsid w:val="006D2C0C"/>
    <w:rsid w:val="006D2CF9"/>
    <w:rsid w:val="006D586B"/>
    <w:rsid w:val="006D69C6"/>
    <w:rsid w:val="006D6CB6"/>
    <w:rsid w:val="006D762A"/>
    <w:rsid w:val="006E0605"/>
    <w:rsid w:val="006E07A8"/>
    <w:rsid w:val="006E0979"/>
    <w:rsid w:val="006E17E8"/>
    <w:rsid w:val="006E3625"/>
    <w:rsid w:val="006E462E"/>
    <w:rsid w:val="006E4BBD"/>
    <w:rsid w:val="006E50C9"/>
    <w:rsid w:val="006E5749"/>
    <w:rsid w:val="006E5DB2"/>
    <w:rsid w:val="006E6435"/>
    <w:rsid w:val="006E6BF4"/>
    <w:rsid w:val="006E6C49"/>
    <w:rsid w:val="006E6E8B"/>
    <w:rsid w:val="006E7B14"/>
    <w:rsid w:val="006F01D8"/>
    <w:rsid w:val="006F1A76"/>
    <w:rsid w:val="006F286D"/>
    <w:rsid w:val="006F2CE0"/>
    <w:rsid w:val="006F305B"/>
    <w:rsid w:val="006F425C"/>
    <w:rsid w:val="006F49E5"/>
    <w:rsid w:val="006F5625"/>
    <w:rsid w:val="006F5AEB"/>
    <w:rsid w:val="006F6ED2"/>
    <w:rsid w:val="007001C8"/>
    <w:rsid w:val="00700405"/>
    <w:rsid w:val="007027D0"/>
    <w:rsid w:val="00702D49"/>
    <w:rsid w:val="00702D75"/>
    <w:rsid w:val="00702FB7"/>
    <w:rsid w:val="00703105"/>
    <w:rsid w:val="00703256"/>
    <w:rsid w:val="007033C1"/>
    <w:rsid w:val="00703931"/>
    <w:rsid w:val="00704E63"/>
    <w:rsid w:val="00705A72"/>
    <w:rsid w:val="00705E0C"/>
    <w:rsid w:val="00706371"/>
    <w:rsid w:val="0070646B"/>
    <w:rsid w:val="0070658A"/>
    <w:rsid w:val="007101B0"/>
    <w:rsid w:val="00710FE8"/>
    <w:rsid w:val="00711204"/>
    <w:rsid w:val="0071157A"/>
    <w:rsid w:val="0071202B"/>
    <w:rsid w:val="007131C6"/>
    <w:rsid w:val="007134D5"/>
    <w:rsid w:val="00713B22"/>
    <w:rsid w:val="007144E6"/>
    <w:rsid w:val="007145FD"/>
    <w:rsid w:val="00714DEC"/>
    <w:rsid w:val="00714E8D"/>
    <w:rsid w:val="00715685"/>
    <w:rsid w:val="00715CD0"/>
    <w:rsid w:val="00716249"/>
    <w:rsid w:val="007163F8"/>
    <w:rsid w:val="00716B9D"/>
    <w:rsid w:val="007179C4"/>
    <w:rsid w:val="00720176"/>
    <w:rsid w:val="007210FC"/>
    <w:rsid w:val="00721122"/>
    <w:rsid w:val="00721B23"/>
    <w:rsid w:val="00721C72"/>
    <w:rsid w:val="00722229"/>
    <w:rsid w:val="007226BA"/>
    <w:rsid w:val="00722727"/>
    <w:rsid w:val="00722EC2"/>
    <w:rsid w:val="00722EF7"/>
    <w:rsid w:val="00723177"/>
    <w:rsid w:val="00723A8E"/>
    <w:rsid w:val="00725F80"/>
    <w:rsid w:val="00726300"/>
    <w:rsid w:val="00727C1E"/>
    <w:rsid w:val="00727D0D"/>
    <w:rsid w:val="00727D39"/>
    <w:rsid w:val="00730080"/>
    <w:rsid w:val="00730CFA"/>
    <w:rsid w:val="007312E0"/>
    <w:rsid w:val="007313F0"/>
    <w:rsid w:val="007314A7"/>
    <w:rsid w:val="0073289C"/>
    <w:rsid w:val="00733028"/>
    <w:rsid w:val="00733870"/>
    <w:rsid w:val="00733DD6"/>
    <w:rsid w:val="00733F75"/>
    <w:rsid w:val="0073410D"/>
    <w:rsid w:val="0073431D"/>
    <w:rsid w:val="0073609F"/>
    <w:rsid w:val="00736380"/>
    <w:rsid w:val="00736731"/>
    <w:rsid w:val="00737559"/>
    <w:rsid w:val="00737AC7"/>
    <w:rsid w:val="0074015A"/>
    <w:rsid w:val="007408EE"/>
    <w:rsid w:val="00742823"/>
    <w:rsid w:val="007428EA"/>
    <w:rsid w:val="00743747"/>
    <w:rsid w:val="00743BFF"/>
    <w:rsid w:val="00743C6B"/>
    <w:rsid w:val="00743E5C"/>
    <w:rsid w:val="00744542"/>
    <w:rsid w:val="00744EEC"/>
    <w:rsid w:val="00745078"/>
    <w:rsid w:val="00745A98"/>
    <w:rsid w:val="007465D6"/>
    <w:rsid w:val="00747ABE"/>
    <w:rsid w:val="00750F62"/>
    <w:rsid w:val="00751D28"/>
    <w:rsid w:val="007521EE"/>
    <w:rsid w:val="00752307"/>
    <w:rsid w:val="0075303B"/>
    <w:rsid w:val="00753075"/>
    <w:rsid w:val="00753351"/>
    <w:rsid w:val="00754010"/>
    <w:rsid w:val="0075417C"/>
    <w:rsid w:val="0075450C"/>
    <w:rsid w:val="0075478F"/>
    <w:rsid w:val="00754DEE"/>
    <w:rsid w:val="00755538"/>
    <w:rsid w:val="00755EDF"/>
    <w:rsid w:val="007562D1"/>
    <w:rsid w:val="00756F0B"/>
    <w:rsid w:val="007602AE"/>
    <w:rsid w:val="007603CA"/>
    <w:rsid w:val="00760503"/>
    <w:rsid w:val="00760F21"/>
    <w:rsid w:val="00761F7E"/>
    <w:rsid w:val="00762741"/>
    <w:rsid w:val="00763228"/>
    <w:rsid w:val="00763BAE"/>
    <w:rsid w:val="007644DE"/>
    <w:rsid w:val="00764A29"/>
    <w:rsid w:val="00765025"/>
    <w:rsid w:val="0076592F"/>
    <w:rsid w:val="00766F82"/>
    <w:rsid w:val="00772DD3"/>
    <w:rsid w:val="00773015"/>
    <w:rsid w:val="0077340D"/>
    <w:rsid w:val="00773C45"/>
    <w:rsid w:val="0077458B"/>
    <w:rsid w:val="007746EB"/>
    <w:rsid w:val="00774A2B"/>
    <w:rsid w:val="007757BA"/>
    <w:rsid w:val="00775922"/>
    <w:rsid w:val="00775B54"/>
    <w:rsid w:val="00775E94"/>
    <w:rsid w:val="007766EC"/>
    <w:rsid w:val="00777A9B"/>
    <w:rsid w:val="00777BBC"/>
    <w:rsid w:val="00777DAE"/>
    <w:rsid w:val="00777DB7"/>
    <w:rsid w:val="00777F28"/>
    <w:rsid w:val="00777F66"/>
    <w:rsid w:val="00780341"/>
    <w:rsid w:val="00780827"/>
    <w:rsid w:val="0078098C"/>
    <w:rsid w:val="0078108A"/>
    <w:rsid w:val="00781865"/>
    <w:rsid w:val="00781B0F"/>
    <w:rsid w:val="00781B2C"/>
    <w:rsid w:val="00781D6B"/>
    <w:rsid w:val="00783FA8"/>
    <w:rsid w:val="00784117"/>
    <w:rsid w:val="00784CA4"/>
    <w:rsid w:val="00784DB1"/>
    <w:rsid w:val="00784DEB"/>
    <w:rsid w:val="00785368"/>
    <w:rsid w:val="00785E33"/>
    <w:rsid w:val="0078602A"/>
    <w:rsid w:val="007860F9"/>
    <w:rsid w:val="00786E66"/>
    <w:rsid w:val="00790522"/>
    <w:rsid w:val="00791181"/>
    <w:rsid w:val="00791352"/>
    <w:rsid w:val="00791693"/>
    <w:rsid w:val="00791AE6"/>
    <w:rsid w:val="0079453C"/>
    <w:rsid w:val="0079500C"/>
    <w:rsid w:val="00795129"/>
    <w:rsid w:val="00795A7B"/>
    <w:rsid w:val="00797FC8"/>
    <w:rsid w:val="007A123D"/>
    <w:rsid w:val="007A1BBC"/>
    <w:rsid w:val="007A22E3"/>
    <w:rsid w:val="007A420F"/>
    <w:rsid w:val="007A47D1"/>
    <w:rsid w:val="007A5460"/>
    <w:rsid w:val="007A6720"/>
    <w:rsid w:val="007A69A0"/>
    <w:rsid w:val="007A723E"/>
    <w:rsid w:val="007A77F8"/>
    <w:rsid w:val="007A791D"/>
    <w:rsid w:val="007B0E4F"/>
    <w:rsid w:val="007B147E"/>
    <w:rsid w:val="007B1DCC"/>
    <w:rsid w:val="007B1F25"/>
    <w:rsid w:val="007B2722"/>
    <w:rsid w:val="007B29B2"/>
    <w:rsid w:val="007B2BBB"/>
    <w:rsid w:val="007B2CD3"/>
    <w:rsid w:val="007B2D72"/>
    <w:rsid w:val="007B2E9F"/>
    <w:rsid w:val="007B38B9"/>
    <w:rsid w:val="007B40A9"/>
    <w:rsid w:val="007B54D9"/>
    <w:rsid w:val="007B55E9"/>
    <w:rsid w:val="007B5909"/>
    <w:rsid w:val="007B679D"/>
    <w:rsid w:val="007B68B1"/>
    <w:rsid w:val="007B6B88"/>
    <w:rsid w:val="007B7153"/>
    <w:rsid w:val="007B7D7C"/>
    <w:rsid w:val="007B7FF4"/>
    <w:rsid w:val="007C06B4"/>
    <w:rsid w:val="007C0F97"/>
    <w:rsid w:val="007C1133"/>
    <w:rsid w:val="007C12B5"/>
    <w:rsid w:val="007C136B"/>
    <w:rsid w:val="007C16A9"/>
    <w:rsid w:val="007C2856"/>
    <w:rsid w:val="007C2AF3"/>
    <w:rsid w:val="007C2BA1"/>
    <w:rsid w:val="007C5625"/>
    <w:rsid w:val="007C6033"/>
    <w:rsid w:val="007C610E"/>
    <w:rsid w:val="007C66F5"/>
    <w:rsid w:val="007C74AC"/>
    <w:rsid w:val="007C7639"/>
    <w:rsid w:val="007D02A3"/>
    <w:rsid w:val="007D0B34"/>
    <w:rsid w:val="007D0F9C"/>
    <w:rsid w:val="007D12E6"/>
    <w:rsid w:val="007D13EC"/>
    <w:rsid w:val="007D1BC9"/>
    <w:rsid w:val="007D1FCE"/>
    <w:rsid w:val="007D2973"/>
    <w:rsid w:val="007D2ABF"/>
    <w:rsid w:val="007D2D72"/>
    <w:rsid w:val="007D3106"/>
    <w:rsid w:val="007D4408"/>
    <w:rsid w:val="007D48D0"/>
    <w:rsid w:val="007D5710"/>
    <w:rsid w:val="007D5954"/>
    <w:rsid w:val="007D5A92"/>
    <w:rsid w:val="007D72E0"/>
    <w:rsid w:val="007D75D7"/>
    <w:rsid w:val="007D7A97"/>
    <w:rsid w:val="007D7B79"/>
    <w:rsid w:val="007E0053"/>
    <w:rsid w:val="007E0252"/>
    <w:rsid w:val="007E0CEA"/>
    <w:rsid w:val="007E106C"/>
    <w:rsid w:val="007E1555"/>
    <w:rsid w:val="007E2019"/>
    <w:rsid w:val="007E25F5"/>
    <w:rsid w:val="007E3046"/>
    <w:rsid w:val="007E58B9"/>
    <w:rsid w:val="007E5CDF"/>
    <w:rsid w:val="007E72FF"/>
    <w:rsid w:val="007E7820"/>
    <w:rsid w:val="007E791F"/>
    <w:rsid w:val="007F0E1E"/>
    <w:rsid w:val="007F1890"/>
    <w:rsid w:val="007F2919"/>
    <w:rsid w:val="007F509F"/>
    <w:rsid w:val="007F591A"/>
    <w:rsid w:val="007F5E10"/>
    <w:rsid w:val="007F616C"/>
    <w:rsid w:val="007F62EA"/>
    <w:rsid w:val="007F6DB8"/>
    <w:rsid w:val="007F7C99"/>
    <w:rsid w:val="007F7D38"/>
    <w:rsid w:val="008004A9"/>
    <w:rsid w:val="00800F8A"/>
    <w:rsid w:val="0080168B"/>
    <w:rsid w:val="0080184F"/>
    <w:rsid w:val="00801F03"/>
    <w:rsid w:val="00803662"/>
    <w:rsid w:val="00803723"/>
    <w:rsid w:val="008041B2"/>
    <w:rsid w:val="00804B3A"/>
    <w:rsid w:val="00804B6E"/>
    <w:rsid w:val="008056C8"/>
    <w:rsid w:val="00805A5D"/>
    <w:rsid w:val="00806A9E"/>
    <w:rsid w:val="00806C5F"/>
    <w:rsid w:val="008078E1"/>
    <w:rsid w:val="00807D4E"/>
    <w:rsid w:val="00810300"/>
    <w:rsid w:val="00811800"/>
    <w:rsid w:val="00812028"/>
    <w:rsid w:val="00812A07"/>
    <w:rsid w:val="0081359C"/>
    <w:rsid w:val="00813C10"/>
    <w:rsid w:val="00814B66"/>
    <w:rsid w:val="00814FB1"/>
    <w:rsid w:val="008150F1"/>
    <w:rsid w:val="0081624A"/>
    <w:rsid w:val="00816505"/>
    <w:rsid w:val="008169D9"/>
    <w:rsid w:val="00816BE4"/>
    <w:rsid w:val="00816EDF"/>
    <w:rsid w:val="00817248"/>
    <w:rsid w:val="00817820"/>
    <w:rsid w:val="008178F2"/>
    <w:rsid w:val="00820C50"/>
    <w:rsid w:val="00820C8C"/>
    <w:rsid w:val="008215E2"/>
    <w:rsid w:val="00821691"/>
    <w:rsid w:val="00822000"/>
    <w:rsid w:val="00822512"/>
    <w:rsid w:val="0082293C"/>
    <w:rsid w:val="00823592"/>
    <w:rsid w:val="00823E1F"/>
    <w:rsid w:val="00824709"/>
    <w:rsid w:val="008252BD"/>
    <w:rsid w:val="0082598F"/>
    <w:rsid w:val="0082628C"/>
    <w:rsid w:val="008269C4"/>
    <w:rsid w:val="00826D95"/>
    <w:rsid w:val="0082795C"/>
    <w:rsid w:val="0083228E"/>
    <w:rsid w:val="00832EBB"/>
    <w:rsid w:val="008337BC"/>
    <w:rsid w:val="008337E1"/>
    <w:rsid w:val="00833F08"/>
    <w:rsid w:val="00834001"/>
    <w:rsid w:val="0083545D"/>
    <w:rsid w:val="008357E1"/>
    <w:rsid w:val="008358C3"/>
    <w:rsid w:val="00836673"/>
    <w:rsid w:val="00836F63"/>
    <w:rsid w:val="0083781C"/>
    <w:rsid w:val="00837C4F"/>
    <w:rsid w:val="00840250"/>
    <w:rsid w:val="00840386"/>
    <w:rsid w:val="008411C7"/>
    <w:rsid w:val="0084135E"/>
    <w:rsid w:val="0084180E"/>
    <w:rsid w:val="008419F9"/>
    <w:rsid w:val="00841B85"/>
    <w:rsid w:val="00842083"/>
    <w:rsid w:val="0084394D"/>
    <w:rsid w:val="008439D7"/>
    <w:rsid w:val="00843E19"/>
    <w:rsid w:val="00844059"/>
    <w:rsid w:val="00844166"/>
    <w:rsid w:val="008441B4"/>
    <w:rsid w:val="00844446"/>
    <w:rsid w:val="008448CC"/>
    <w:rsid w:val="008458F7"/>
    <w:rsid w:val="008463AD"/>
    <w:rsid w:val="008464B0"/>
    <w:rsid w:val="00846DA0"/>
    <w:rsid w:val="00846F41"/>
    <w:rsid w:val="00847492"/>
    <w:rsid w:val="00847737"/>
    <w:rsid w:val="008503CC"/>
    <w:rsid w:val="00850425"/>
    <w:rsid w:val="00850BE7"/>
    <w:rsid w:val="00851295"/>
    <w:rsid w:val="00851F4F"/>
    <w:rsid w:val="00853968"/>
    <w:rsid w:val="008544D7"/>
    <w:rsid w:val="00855150"/>
    <w:rsid w:val="008553A6"/>
    <w:rsid w:val="00855A60"/>
    <w:rsid w:val="00857171"/>
    <w:rsid w:val="0085736A"/>
    <w:rsid w:val="008574B3"/>
    <w:rsid w:val="00857B52"/>
    <w:rsid w:val="00857D03"/>
    <w:rsid w:val="00857F03"/>
    <w:rsid w:val="008600FA"/>
    <w:rsid w:val="00860512"/>
    <w:rsid w:val="00860A90"/>
    <w:rsid w:val="0086171E"/>
    <w:rsid w:val="00861D60"/>
    <w:rsid w:val="008621C9"/>
    <w:rsid w:val="0086225D"/>
    <w:rsid w:val="00862B4D"/>
    <w:rsid w:val="00863115"/>
    <w:rsid w:val="00863D98"/>
    <w:rsid w:val="00863E81"/>
    <w:rsid w:val="0086416E"/>
    <w:rsid w:val="008644D1"/>
    <w:rsid w:val="00864E84"/>
    <w:rsid w:val="00865425"/>
    <w:rsid w:val="0086760C"/>
    <w:rsid w:val="008679D5"/>
    <w:rsid w:val="00867DC9"/>
    <w:rsid w:val="0087060C"/>
    <w:rsid w:val="00870761"/>
    <w:rsid w:val="00872992"/>
    <w:rsid w:val="00872F2F"/>
    <w:rsid w:val="00873416"/>
    <w:rsid w:val="0087462F"/>
    <w:rsid w:val="0087489E"/>
    <w:rsid w:val="00874A07"/>
    <w:rsid w:val="00875D42"/>
    <w:rsid w:val="00876848"/>
    <w:rsid w:val="00876A54"/>
    <w:rsid w:val="00877199"/>
    <w:rsid w:val="008773E3"/>
    <w:rsid w:val="0087757C"/>
    <w:rsid w:val="008776D2"/>
    <w:rsid w:val="008812CC"/>
    <w:rsid w:val="0088139B"/>
    <w:rsid w:val="0088144E"/>
    <w:rsid w:val="00882DB4"/>
    <w:rsid w:val="008832C0"/>
    <w:rsid w:val="008836F6"/>
    <w:rsid w:val="00883C72"/>
    <w:rsid w:val="00884183"/>
    <w:rsid w:val="00884354"/>
    <w:rsid w:val="00885164"/>
    <w:rsid w:val="00885791"/>
    <w:rsid w:val="008858BF"/>
    <w:rsid w:val="00885F5A"/>
    <w:rsid w:val="0088663E"/>
    <w:rsid w:val="00886738"/>
    <w:rsid w:val="00887860"/>
    <w:rsid w:val="00887E30"/>
    <w:rsid w:val="00890941"/>
    <w:rsid w:val="00890EB9"/>
    <w:rsid w:val="00890FCC"/>
    <w:rsid w:val="00891BA1"/>
    <w:rsid w:val="00894A86"/>
    <w:rsid w:val="00895A68"/>
    <w:rsid w:val="00895CE8"/>
    <w:rsid w:val="008967AB"/>
    <w:rsid w:val="00896B47"/>
    <w:rsid w:val="00896FEA"/>
    <w:rsid w:val="0089734E"/>
    <w:rsid w:val="008A01CC"/>
    <w:rsid w:val="008A0232"/>
    <w:rsid w:val="008A0F99"/>
    <w:rsid w:val="008A1BED"/>
    <w:rsid w:val="008A24F7"/>
    <w:rsid w:val="008A2AAF"/>
    <w:rsid w:val="008A2CAE"/>
    <w:rsid w:val="008A3DD2"/>
    <w:rsid w:val="008A3F3B"/>
    <w:rsid w:val="008A40DE"/>
    <w:rsid w:val="008A5E57"/>
    <w:rsid w:val="008A618D"/>
    <w:rsid w:val="008A69F1"/>
    <w:rsid w:val="008A6A12"/>
    <w:rsid w:val="008B01A3"/>
    <w:rsid w:val="008B0759"/>
    <w:rsid w:val="008B0F4D"/>
    <w:rsid w:val="008B2439"/>
    <w:rsid w:val="008B2DFF"/>
    <w:rsid w:val="008B3630"/>
    <w:rsid w:val="008B382D"/>
    <w:rsid w:val="008B40EC"/>
    <w:rsid w:val="008B4D8E"/>
    <w:rsid w:val="008B4E1C"/>
    <w:rsid w:val="008B693D"/>
    <w:rsid w:val="008B7674"/>
    <w:rsid w:val="008C0413"/>
    <w:rsid w:val="008C04A7"/>
    <w:rsid w:val="008C163F"/>
    <w:rsid w:val="008C185C"/>
    <w:rsid w:val="008C1A63"/>
    <w:rsid w:val="008C1B85"/>
    <w:rsid w:val="008C2A5D"/>
    <w:rsid w:val="008C2C80"/>
    <w:rsid w:val="008C314D"/>
    <w:rsid w:val="008C3220"/>
    <w:rsid w:val="008C3442"/>
    <w:rsid w:val="008C4A12"/>
    <w:rsid w:val="008C5219"/>
    <w:rsid w:val="008C54B9"/>
    <w:rsid w:val="008C5A61"/>
    <w:rsid w:val="008C60E9"/>
    <w:rsid w:val="008C6C74"/>
    <w:rsid w:val="008C7939"/>
    <w:rsid w:val="008C7F27"/>
    <w:rsid w:val="008D1112"/>
    <w:rsid w:val="008D14BA"/>
    <w:rsid w:val="008D157B"/>
    <w:rsid w:val="008D170D"/>
    <w:rsid w:val="008D3F4C"/>
    <w:rsid w:val="008D455D"/>
    <w:rsid w:val="008D4CC0"/>
    <w:rsid w:val="008D672B"/>
    <w:rsid w:val="008D6864"/>
    <w:rsid w:val="008D6D8B"/>
    <w:rsid w:val="008D77BB"/>
    <w:rsid w:val="008E08F7"/>
    <w:rsid w:val="008E177D"/>
    <w:rsid w:val="008E17C0"/>
    <w:rsid w:val="008E1BCA"/>
    <w:rsid w:val="008E243E"/>
    <w:rsid w:val="008E2BCB"/>
    <w:rsid w:val="008E3B84"/>
    <w:rsid w:val="008E3B8C"/>
    <w:rsid w:val="008E45FE"/>
    <w:rsid w:val="008E48CD"/>
    <w:rsid w:val="008E5342"/>
    <w:rsid w:val="008E5FFE"/>
    <w:rsid w:val="008E61D6"/>
    <w:rsid w:val="008E69B5"/>
    <w:rsid w:val="008E6B58"/>
    <w:rsid w:val="008E6CD8"/>
    <w:rsid w:val="008E6DBE"/>
    <w:rsid w:val="008E6EB5"/>
    <w:rsid w:val="008F006D"/>
    <w:rsid w:val="008F042B"/>
    <w:rsid w:val="008F05B3"/>
    <w:rsid w:val="008F12A5"/>
    <w:rsid w:val="008F12A7"/>
    <w:rsid w:val="008F15B0"/>
    <w:rsid w:val="008F2549"/>
    <w:rsid w:val="008F2A8C"/>
    <w:rsid w:val="008F3200"/>
    <w:rsid w:val="008F4FF4"/>
    <w:rsid w:val="008F54A8"/>
    <w:rsid w:val="008F6CCD"/>
    <w:rsid w:val="008F6EED"/>
    <w:rsid w:val="008F7610"/>
    <w:rsid w:val="008F763C"/>
    <w:rsid w:val="008F76CA"/>
    <w:rsid w:val="00900232"/>
    <w:rsid w:val="00900F99"/>
    <w:rsid w:val="00900F9B"/>
    <w:rsid w:val="00901327"/>
    <w:rsid w:val="009016D0"/>
    <w:rsid w:val="00902633"/>
    <w:rsid w:val="00902935"/>
    <w:rsid w:val="00903038"/>
    <w:rsid w:val="00903061"/>
    <w:rsid w:val="00903064"/>
    <w:rsid w:val="0090354D"/>
    <w:rsid w:val="0090374A"/>
    <w:rsid w:val="009038CA"/>
    <w:rsid w:val="00904188"/>
    <w:rsid w:val="00904537"/>
    <w:rsid w:val="0090483A"/>
    <w:rsid w:val="00904BDF"/>
    <w:rsid w:val="00904FDA"/>
    <w:rsid w:val="0090553F"/>
    <w:rsid w:val="00906385"/>
    <w:rsid w:val="009064EB"/>
    <w:rsid w:val="00906EB6"/>
    <w:rsid w:val="00907408"/>
    <w:rsid w:val="00910108"/>
    <w:rsid w:val="009102A9"/>
    <w:rsid w:val="00910339"/>
    <w:rsid w:val="009104AA"/>
    <w:rsid w:val="00910DED"/>
    <w:rsid w:val="00911C1B"/>
    <w:rsid w:val="0091268A"/>
    <w:rsid w:val="00912886"/>
    <w:rsid w:val="00912FD0"/>
    <w:rsid w:val="009131CC"/>
    <w:rsid w:val="009131D2"/>
    <w:rsid w:val="009135EF"/>
    <w:rsid w:val="00913A04"/>
    <w:rsid w:val="00913A43"/>
    <w:rsid w:val="009140D0"/>
    <w:rsid w:val="00914CC9"/>
    <w:rsid w:val="00915DFD"/>
    <w:rsid w:val="00916D4D"/>
    <w:rsid w:val="0091724E"/>
    <w:rsid w:val="00917279"/>
    <w:rsid w:val="00917374"/>
    <w:rsid w:val="00917AFE"/>
    <w:rsid w:val="009204F6"/>
    <w:rsid w:val="00920581"/>
    <w:rsid w:val="00920D05"/>
    <w:rsid w:val="00921481"/>
    <w:rsid w:val="00922E39"/>
    <w:rsid w:val="00923B3D"/>
    <w:rsid w:val="009240EE"/>
    <w:rsid w:val="009241CD"/>
    <w:rsid w:val="009242F3"/>
    <w:rsid w:val="00924C03"/>
    <w:rsid w:val="009254BA"/>
    <w:rsid w:val="00926320"/>
    <w:rsid w:val="009263B9"/>
    <w:rsid w:val="00926B19"/>
    <w:rsid w:val="0092780E"/>
    <w:rsid w:val="009305A0"/>
    <w:rsid w:val="00930751"/>
    <w:rsid w:val="00930C93"/>
    <w:rsid w:val="00932433"/>
    <w:rsid w:val="00932C4B"/>
    <w:rsid w:val="0093302B"/>
    <w:rsid w:val="00933368"/>
    <w:rsid w:val="009337EB"/>
    <w:rsid w:val="00934E4A"/>
    <w:rsid w:val="00934F1C"/>
    <w:rsid w:val="00934F9C"/>
    <w:rsid w:val="00935DFB"/>
    <w:rsid w:val="00936088"/>
    <w:rsid w:val="009367DB"/>
    <w:rsid w:val="0093767B"/>
    <w:rsid w:val="00937794"/>
    <w:rsid w:val="00940D3C"/>
    <w:rsid w:val="00941D7F"/>
    <w:rsid w:val="009453CF"/>
    <w:rsid w:val="00945A15"/>
    <w:rsid w:val="009461CC"/>
    <w:rsid w:val="0094697D"/>
    <w:rsid w:val="00947318"/>
    <w:rsid w:val="00947627"/>
    <w:rsid w:val="00950403"/>
    <w:rsid w:val="00950F0C"/>
    <w:rsid w:val="0095102F"/>
    <w:rsid w:val="0095112E"/>
    <w:rsid w:val="00953812"/>
    <w:rsid w:val="0095462C"/>
    <w:rsid w:val="00954DF6"/>
    <w:rsid w:val="00954EC0"/>
    <w:rsid w:val="00954FC3"/>
    <w:rsid w:val="009552FC"/>
    <w:rsid w:val="009557E7"/>
    <w:rsid w:val="00955967"/>
    <w:rsid w:val="00955C2B"/>
    <w:rsid w:val="00955C66"/>
    <w:rsid w:val="00955CA3"/>
    <w:rsid w:val="00956F4B"/>
    <w:rsid w:val="00957859"/>
    <w:rsid w:val="009610B9"/>
    <w:rsid w:val="009622F4"/>
    <w:rsid w:val="00963A6D"/>
    <w:rsid w:val="00964DD6"/>
    <w:rsid w:val="00964E4A"/>
    <w:rsid w:val="009651FA"/>
    <w:rsid w:val="009657AB"/>
    <w:rsid w:val="009664D2"/>
    <w:rsid w:val="00966841"/>
    <w:rsid w:val="0096743E"/>
    <w:rsid w:val="00967F9A"/>
    <w:rsid w:val="0097036B"/>
    <w:rsid w:val="00971B09"/>
    <w:rsid w:val="00971F2C"/>
    <w:rsid w:val="00972BAE"/>
    <w:rsid w:val="009742C8"/>
    <w:rsid w:val="00974CD3"/>
    <w:rsid w:val="00975596"/>
    <w:rsid w:val="0097588D"/>
    <w:rsid w:val="009758C5"/>
    <w:rsid w:val="0097624E"/>
    <w:rsid w:val="00976F95"/>
    <w:rsid w:val="00977018"/>
    <w:rsid w:val="0097724E"/>
    <w:rsid w:val="00977BAB"/>
    <w:rsid w:val="00977F0B"/>
    <w:rsid w:val="00980451"/>
    <w:rsid w:val="009814E7"/>
    <w:rsid w:val="00981D2E"/>
    <w:rsid w:val="00981FAF"/>
    <w:rsid w:val="00983910"/>
    <w:rsid w:val="00983FBB"/>
    <w:rsid w:val="009849B6"/>
    <w:rsid w:val="00984F0E"/>
    <w:rsid w:val="00985351"/>
    <w:rsid w:val="009853B6"/>
    <w:rsid w:val="009854C4"/>
    <w:rsid w:val="009866F8"/>
    <w:rsid w:val="009873A2"/>
    <w:rsid w:val="00987779"/>
    <w:rsid w:val="00987B19"/>
    <w:rsid w:val="00990D10"/>
    <w:rsid w:val="009915C5"/>
    <w:rsid w:val="009935B1"/>
    <w:rsid w:val="009935C1"/>
    <w:rsid w:val="00994314"/>
    <w:rsid w:val="0099451D"/>
    <w:rsid w:val="009945F0"/>
    <w:rsid w:val="00995C8B"/>
    <w:rsid w:val="009962D5"/>
    <w:rsid w:val="009A019A"/>
    <w:rsid w:val="009A0569"/>
    <w:rsid w:val="009A07BB"/>
    <w:rsid w:val="009A1099"/>
    <w:rsid w:val="009A1620"/>
    <w:rsid w:val="009A16AF"/>
    <w:rsid w:val="009A1FE7"/>
    <w:rsid w:val="009A2711"/>
    <w:rsid w:val="009A2DBD"/>
    <w:rsid w:val="009A36EE"/>
    <w:rsid w:val="009A3B03"/>
    <w:rsid w:val="009A3D4A"/>
    <w:rsid w:val="009A4147"/>
    <w:rsid w:val="009A4396"/>
    <w:rsid w:val="009A4B03"/>
    <w:rsid w:val="009A4FBA"/>
    <w:rsid w:val="009A5E57"/>
    <w:rsid w:val="009A600D"/>
    <w:rsid w:val="009A6220"/>
    <w:rsid w:val="009A62EE"/>
    <w:rsid w:val="009A665C"/>
    <w:rsid w:val="009A7C04"/>
    <w:rsid w:val="009B034E"/>
    <w:rsid w:val="009B03DE"/>
    <w:rsid w:val="009B1302"/>
    <w:rsid w:val="009B1D0F"/>
    <w:rsid w:val="009B20B3"/>
    <w:rsid w:val="009B3A7D"/>
    <w:rsid w:val="009B41B8"/>
    <w:rsid w:val="009B43BB"/>
    <w:rsid w:val="009B4B37"/>
    <w:rsid w:val="009B544B"/>
    <w:rsid w:val="009B6958"/>
    <w:rsid w:val="009B6FBB"/>
    <w:rsid w:val="009B710B"/>
    <w:rsid w:val="009B73A0"/>
    <w:rsid w:val="009B7BDD"/>
    <w:rsid w:val="009C0495"/>
    <w:rsid w:val="009C0727"/>
    <w:rsid w:val="009C12C2"/>
    <w:rsid w:val="009C1657"/>
    <w:rsid w:val="009C19F0"/>
    <w:rsid w:val="009C1A22"/>
    <w:rsid w:val="009C2352"/>
    <w:rsid w:val="009C3C0C"/>
    <w:rsid w:val="009C43D3"/>
    <w:rsid w:val="009C5587"/>
    <w:rsid w:val="009C5A3F"/>
    <w:rsid w:val="009C5B62"/>
    <w:rsid w:val="009C6AE7"/>
    <w:rsid w:val="009C7A70"/>
    <w:rsid w:val="009D116A"/>
    <w:rsid w:val="009D118F"/>
    <w:rsid w:val="009D14BC"/>
    <w:rsid w:val="009D18D2"/>
    <w:rsid w:val="009D19A3"/>
    <w:rsid w:val="009D30A1"/>
    <w:rsid w:val="009D326A"/>
    <w:rsid w:val="009D3818"/>
    <w:rsid w:val="009D38DC"/>
    <w:rsid w:val="009D5044"/>
    <w:rsid w:val="009D538B"/>
    <w:rsid w:val="009D5CFC"/>
    <w:rsid w:val="009D6292"/>
    <w:rsid w:val="009D66BA"/>
    <w:rsid w:val="009D69A4"/>
    <w:rsid w:val="009D70D7"/>
    <w:rsid w:val="009D71B2"/>
    <w:rsid w:val="009D78DE"/>
    <w:rsid w:val="009D7C64"/>
    <w:rsid w:val="009E0871"/>
    <w:rsid w:val="009E0EA6"/>
    <w:rsid w:val="009E1E8A"/>
    <w:rsid w:val="009E33B3"/>
    <w:rsid w:val="009E340C"/>
    <w:rsid w:val="009E3AFC"/>
    <w:rsid w:val="009E3F14"/>
    <w:rsid w:val="009E4333"/>
    <w:rsid w:val="009E4479"/>
    <w:rsid w:val="009E449B"/>
    <w:rsid w:val="009E4AD4"/>
    <w:rsid w:val="009E5F31"/>
    <w:rsid w:val="009E62FE"/>
    <w:rsid w:val="009E651C"/>
    <w:rsid w:val="009E67EF"/>
    <w:rsid w:val="009E6A49"/>
    <w:rsid w:val="009E7B9E"/>
    <w:rsid w:val="009E7DBD"/>
    <w:rsid w:val="009F00F0"/>
    <w:rsid w:val="009F02A9"/>
    <w:rsid w:val="009F0858"/>
    <w:rsid w:val="009F14E9"/>
    <w:rsid w:val="009F152E"/>
    <w:rsid w:val="009F1647"/>
    <w:rsid w:val="009F1A12"/>
    <w:rsid w:val="009F1B68"/>
    <w:rsid w:val="009F1BC9"/>
    <w:rsid w:val="009F1C56"/>
    <w:rsid w:val="009F3D03"/>
    <w:rsid w:val="009F3F39"/>
    <w:rsid w:val="009F4536"/>
    <w:rsid w:val="009F4900"/>
    <w:rsid w:val="009F4E87"/>
    <w:rsid w:val="009F56B1"/>
    <w:rsid w:val="009F5D81"/>
    <w:rsid w:val="009F5F70"/>
    <w:rsid w:val="009F67A3"/>
    <w:rsid w:val="009F67DE"/>
    <w:rsid w:val="009F6B6C"/>
    <w:rsid w:val="009F71C4"/>
    <w:rsid w:val="009F7F88"/>
    <w:rsid w:val="00A00F45"/>
    <w:rsid w:val="00A0110C"/>
    <w:rsid w:val="00A015A2"/>
    <w:rsid w:val="00A02397"/>
    <w:rsid w:val="00A02670"/>
    <w:rsid w:val="00A02F6F"/>
    <w:rsid w:val="00A0306C"/>
    <w:rsid w:val="00A03435"/>
    <w:rsid w:val="00A036D8"/>
    <w:rsid w:val="00A04394"/>
    <w:rsid w:val="00A05291"/>
    <w:rsid w:val="00A0779C"/>
    <w:rsid w:val="00A105E1"/>
    <w:rsid w:val="00A1185D"/>
    <w:rsid w:val="00A11AC2"/>
    <w:rsid w:val="00A11D54"/>
    <w:rsid w:val="00A12436"/>
    <w:rsid w:val="00A12A62"/>
    <w:rsid w:val="00A12FCA"/>
    <w:rsid w:val="00A13286"/>
    <w:rsid w:val="00A13321"/>
    <w:rsid w:val="00A1405E"/>
    <w:rsid w:val="00A14AE0"/>
    <w:rsid w:val="00A14DF3"/>
    <w:rsid w:val="00A15026"/>
    <w:rsid w:val="00A157D0"/>
    <w:rsid w:val="00A158F0"/>
    <w:rsid w:val="00A15AC6"/>
    <w:rsid w:val="00A15E51"/>
    <w:rsid w:val="00A16F53"/>
    <w:rsid w:val="00A173CA"/>
    <w:rsid w:val="00A215A9"/>
    <w:rsid w:val="00A21DE1"/>
    <w:rsid w:val="00A232F6"/>
    <w:rsid w:val="00A25815"/>
    <w:rsid w:val="00A2634D"/>
    <w:rsid w:val="00A268D4"/>
    <w:rsid w:val="00A26A63"/>
    <w:rsid w:val="00A275EF"/>
    <w:rsid w:val="00A2789E"/>
    <w:rsid w:val="00A3036D"/>
    <w:rsid w:val="00A30672"/>
    <w:rsid w:val="00A31161"/>
    <w:rsid w:val="00A3132B"/>
    <w:rsid w:val="00A31BCD"/>
    <w:rsid w:val="00A32693"/>
    <w:rsid w:val="00A32C2A"/>
    <w:rsid w:val="00A34974"/>
    <w:rsid w:val="00A34CA7"/>
    <w:rsid w:val="00A35544"/>
    <w:rsid w:val="00A358F8"/>
    <w:rsid w:val="00A35C04"/>
    <w:rsid w:val="00A3788E"/>
    <w:rsid w:val="00A4100C"/>
    <w:rsid w:val="00A41037"/>
    <w:rsid w:val="00A411E9"/>
    <w:rsid w:val="00A41A51"/>
    <w:rsid w:val="00A41F00"/>
    <w:rsid w:val="00A41FD3"/>
    <w:rsid w:val="00A420D8"/>
    <w:rsid w:val="00A42323"/>
    <w:rsid w:val="00A4320B"/>
    <w:rsid w:val="00A433AC"/>
    <w:rsid w:val="00A4354B"/>
    <w:rsid w:val="00A43928"/>
    <w:rsid w:val="00A44F9F"/>
    <w:rsid w:val="00A45445"/>
    <w:rsid w:val="00A45AD8"/>
    <w:rsid w:val="00A45DD8"/>
    <w:rsid w:val="00A46464"/>
    <w:rsid w:val="00A513EA"/>
    <w:rsid w:val="00A51955"/>
    <w:rsid w:val="00A524D4"/>
    <w:rsid w:val="00A524D5"/>
    <w:rsid w:val="00A5255F"/>
    <w:rsid w:val="00A5364F"/>
    <w:rsid w:val="00A53DDA"/>
    <w:rsid w:val="00A54290"/>
    <w:rsid w:val="00A546BB"/>
    <w:rsid w:val="00A550FF"/>
    <w:rsid w:val="00A5515D"/>
    <w:rsid w:val="00A5569F"/>
    <w:rsid w:val="00A560C6"/>
    <w:rsid w:val="00A566E3"/>
    <w:rsid w:val="00A56A5C"/>
    <w:rsid w:val="00A56C52"/>
    <w:rsid w:val="00A56E39"/>
    <w:rsid w:val="00A56F3B"/>
    <w:rsid w:val="00A57573"/>
    <w:rsid w:val="00A57994"/>
    <w:rsid w:val="00A60E35"/>
    <w:rsid w:val="00A61445"/>
    <w:rsid w:val="00A614E4"/>
    <w:rsid w:val="00A616E3"/>
    <w:rsid w:val="00A618E5"/>
    <w:rsid w:val="00A62977"/>
    <w:rsid w:val="00A62B97"/>
    <w:rsid w:val="00A64E06"/>
    <w:rsid w:val="00A64E33"/>
    <w:rsid w:val="00A64E87"/>
    <w:rsid w:val="00A64FAD"/>
    <w:rsid w:val="00A64FCE"/>
    <w:rsid w:val="00A65111"/>
    <w:rsid w:val="00A6526D"/>
    <w:rsid w:val="00A6590A"/>
    <w:rsid w:val="00A66060"/>
    <w:rsid w:val="00A6636A"/>
    <w:rsid w:val="00A66CB6"/>
    <w:rsid w:val="00A67578"/>
    <w:rsid w:val="00A7008F"/>
    <w:rsid w:val="00A701AF"/>
    <w:rsid w:val="00A701CF"/>
    <w:rsid w:val="00A7034C"/>
    <w:rsid w:val="00A70460"/>
    <w:rsid w:val="00A7068E"/>
    <w:rsid w:val="00A71EA9"/>
    <w:rsid w:val="00A73034"/>
    <w:rsid w:val="00A734CD"/>
    <w:rsid w:val="00A74046"/>
    <w:rsid w:val="00A74C22"/>
    <w:rsid w:val="00A75223"/>
    <w:rsid w:val="00A756C4"/>
    <w:rsid w:val="00A75D45"/>
    <w:rsid w:val="00A762B7"/>
    <w:rsid w:val="00A76A51"/>
    <w:rsid w:val="00A77176"/>
    <w:rsid w:val="00A771EC"/>
    <w:rsid w:val="00A772E9"/>
    <w:rsid w:val="00A7742A"/>
    <w:rsid w:val="00A774FE"/>
    <w:rsid w:val="00A775D5"/>
    <w:rsid w:val="00A77DEE"/>
    <w:rsid w:val="00A80271"/>
    <w:rsid w:val="00A80E5A"/>
    <w:rsid w:val="00A8132F"/>
    <w:rsid w:val="00A8143F"/>
    <w:rsid w:val="00A814D0"/>
    <w:rsid w:val="00A81AB7"/>
    <w:rsid w:val="00A81B15"/>
    <w:rsid w:val="00A829DD"/>
    <w:rsid w:val="00A83656"/>
    <w:rsid w:val="00A83807"/>
    <w:rsid w:val="00A83944"/>
    <w:rsid w:val="00A8405D"/>
    <w:rsid w:val="00A846A0"/>
    <w:rsid w:val="00A849D2"/>
    <w:rsid w:val="00A84D77"/>
    <w:rsid w:val="00A8556D"/>
    <w:rsid w:val="00A85805"/>
    <w:rsid w:val="00A85DBC"/>
    <w:rsid w:val="00A86D58"/>
    <w:rsid w:val="00A87071"/>
    <w:rsid w:val="00A911E9"/>
    <w:rsid w:val="00A9250F"/>
    <w:rsid w:val="00A92532"/>
    <w:rsid w:val="00A92763"/>
    <w:rsid w:val="00A9332E"/>
    <w:rsid w:val="00A93760"/>
    <w:rsid w:val="00A93808"/>
    <w:rsid w:val="00A93C1A"/>
    <w:rsid w:val="00A94A11"/>
    <w:rsid w:val="00A94A47"/>
    <w:rsid w:val="00A94B93"/>
    <w:rsid w:val="00A95592"/>
    <w:rsid w:val="00A95D35"/>
    <w:rsid w:val="00A961CC"/>
    <w:rsid w:val="00A97083"/>
    <w:rsid w:val="00AA03CA"/>
    <w:rsid w:val="00AA0AB4"/>
    <w:rsid w:val="00AA127E"/>
    <w:rsid w:val="00AA25C9"/>
    <w:rsid w:val="00AA3471"/>
    <w:rsid w:val="00AA4F2D"/>
    <w:rsid w:val="00AA596D"/>
    <w:rsid w:val="00AA601E"/>
    <w:rsid w:val="00AA63BB"/>
    <w:rsid w:val="00AA66B9"/>
    <w:rsid w:val="00AA6A71"/>
    <w:rsid w:val="00AA7A65"/>
    <w:rsid w:val="00AA7F1E"/>
    <w:rsid w:val="00AB04AF"/>
    <w:rsid w:val="00AB297C"/>
    <w:rsid w:val="00AB2DDD"/>
    <w:rsid w:val="00AB4BED"/>
    <w:rsid w:val="00AB4CC7"/>
    <w:rsid w:val="00AB544F"/>
    <w:rsid w:val="00AB55A8"/>
    <w:rsid w:val="00AB5817"/>
    <w:rsid w:val="00AB6E69"/>
    <w:rsid w:val="00AB71FD"/>
    <w:rsid w:val="00AB7939"/>
    <w:rsid w:val="00AC0B1D"/>
    <w:rsid w:val="00AC1888"/>
    <w:rsid w:val="00AC1DE0"/>
    <w:rsid w:val="00AC249D"/>
    <w:rsid w:val="00AC2541"/>
    <w:rsid w:val="00AC28FF"/>
    <w:rsid w:val="00AC2B1C"/>
    <w:rsid w:val="00AC2BAF"/>
    <w:rsid w:val="00AC2BDA"/>
    <w:rsid w:val="00AC3888"/>
    <w:rsid w:val="00AC3C4C"/>
    <w:rsid w:val="00AC4353"/>
    <w:rsid w:val="00AC491E"/>
    <w:rsid w:val="00AC5074"/>
    <w:rsid w:val="00AC50D3"/>
    <w:rsid w:val="00AC652B"/>
    <w:rsid w:val="00AC66AC"/>
    <w:rsid w:val="00AC6916"/>
    <w:rsid w:val="00AC70B9"/>
    <w:rsid w:val="00AC78E9"/>
    <w:rsid w:val="00AC7A1D"/>
    <w:rsid w:val="00AD09B9"/>
    <w:rsid w:val="00AD0BE7"/>
    <w:rsid w:val="00AD3760"/>
    <w:rsid w:val="00AD5E34"/>
    <w:rsid w:val="00AD6161"/>
    <w:rsid w:val="00AD6AB4"/>
    <w:rsid w:val="00AD6E87"/>
    <w:rsid w:val="00AD7469"/>
    <w:rsid w:val="00AD7A5C"/>
    <w:rsid w:val="00AD7F2E"/>
    <w:rsid w:val="00AE0A4F"/>
    <w:rsid w:val="00AE169F"/>
    <w:rsid w:val="00AE1D0D"/>
    <w:rsid w:val="00AE2ADB"/>
    <w:rsid w:val="00AE2D88"/>
    <w:rsid w:val="00AE2E6B"/>
    <w:rsid w:val="00AE3123"/>
    <w:rsid w:val="00AE42BC"/>
    <w:rsid w:val="00AE5070"/>
    <w:rsid w:val="00AE5297"/>
    <w:rsid w:val="00AE52AC"/>
    <w:rsid w:val="00AE578C"/>
    <w:rsid w:val="00AE5981"/>
    <w:rsid w:val="00AE59E0"/>
    <w:rsid w:val="00AE631F"/>
    <w:rsid w:val="00AE78E1"/>
    <w:rsid w:val="00AF15BD"/>
    <w:rsid w:val="00AF2915"/>
    <w:rsid w:val="00AF2950"/>
    <w:rsid w:val="00AF2EAD"/>
    <w:rsid w:val="00AF33D0"/>
    <w:rsid w:val="00AF5046"/>
    <w:rsid w:val="00AF566C"/>
    <w:rsid w:val="00AF574E"/>
    <w:rsid w:val="00AF6E62"/>
    <w:rsid w:val="00AF7262"/>
    <w:rsid w:val="00AF79F1"/>
    <w:rsid w:val="00B00D97"/>
    <w:rsid w:val="00B00E87"/>
    <w:rsid w:val="00B01385"/>
    <w:rsid w:val="00B01F0B"/>
    <w:rsid w:val="00B03023"/>
    <w:rsid w:val="00B040B6"/>
    <w:rsid w:val="00B0432E"/>
    <w:rsid w:val="00B0470D"/>
    <w:rsid w:val="00B0479B"/>
    <w:rsid w:val="00B04E21"/>
    <w:rsid w:val="00B05A6F"/>
    <w:rsid w:val="00B06088"/>
    <w:rsid w:val="00B0632F"/>
    <w:rsid w:val="00B06B6F"/>
    <w:rsid w:val="00B06E40"/>
    <w:rsid w:val="00B0705F"/>
    <w:rsid w:val="00B0711E"/>
    <w:rsid w:val="00B07C44"/>
    <w:rsid w:val="00B07FAB"/>
    <w:rsid w:val="00B108C0"/>
    <w:rsid w:val="00B11121"/>
    <w:rsid w:val="00B11137"/>
    <w:rsid w:val="00B115A8"/>
    <w:rsid w:val="00B11780"/>
    <w:rsid w:val="00B11F0A"/>
    <w:rsid w:val="00B12642"/>
    <w:rsid w:val="00B12D54"/>
    <w:rsid w:val="00B13FD3"/>
    <w:rsid w:val="00B1405F"/>
    <w:rsid w:val="00B160CE"/>
    <w:rsid w:val="00B1696C"/>
    <w:rsid w:val="00B16B09"/>
    <w:rsid w:val="00B16F26"/>
    <w:rsid w:val="00B1773B"/>
    <w:rsid w:val="00B177E5"/>
    <w:rsid w:val="00B17DAA"/>
    <w:rsid w:val="00B20319"/>
    <w:rsid w:val="00B20E7E"/>
    <w:rsid w:val="00B20EED"/>
    <w:rsid w:val="00B21287"/>
    <w:rsid w:val="00B21FA9"/>
    <w:rsid w:val="00B22D5B"/>
    <w:rsid w:val="00B22F9A"/>
    <w:rsid w:val="00B23283"/>
    <w:rsid w:val="00B23CBD"/>
    <w:rsid w:val="00B24986"/>
    <w:rsid w:val="00B24D10"/>
    <w:rsid w:val="00B252AA"/>
    <w:rsid w:val="00B253A6"/>
    <w:rsid w:val="00B256FD"/>
    <w:rsid w:val="00B25D69"/>
    <w:rsid w:val="00B26128"/>
    <w:rsid w:val="00B26901"/>
    <w:rsid w:val="00B27F9F"/>
    <w:rsid w:val="00B300C3"/>
    <w:rsid w:val="00B31021"/>
    <w:rsid w:val="00B315EB"/>
    <w:rsid w:val="00B32389"/>
    <w:rsid w:val="00B3269E"/>
    <w:rsid w:val="00B32D37"/>
    <w:rsid w:val="00B33106"/>
    <w:rsid w:val="00B33977"/>
    <w:rsid w:val="00B3420F"/>
    <w:rsid w:val="00B342AA"/>
    <w:rsid w:val="00B34C0C"/>
    <w:rsid w:val="00B34E41"/>
    <w:rsid w:val="00B34E5C"/>
    <w:rsid w:val="00B35422"/>
    <w:rsid w:val="00B35B22"/>
    <w:rsid w:val="00B35FD8"/>
    <w:rsid w:val="00B363DD"/>
    <w:rsid w:val="00B36628"/>
    <w:rsid w:val="00B375C0"/>
    <w:rsid w:val="00B379D8"/>
    <w:rsid w:val="00B40D67"/>
    <w:rsid w:val="00B4117E"/>
    <w:rsid w:val="00B414B9"/>
    <w:rsid w:val="00B41AF8"/>
    <w:rsid w:val="00B42727"/>
    <w:rsid w:val="00B42F15"/>
    <w:rsid w:val="00B43442"/>
    <w:rsid w:val="00B437A2"/>
    <w:rsid w:val="00B444D8"/>
    <w:rsid w:val="00B447F7"/>
    <w:rsid w:val="00B44BBD"/>
    <w:rsid w:val="00B47774"/>
    <w:rsid w:val="00B47BE5"/>
    <w:rsid w:val="00B5056B"/>
    <w:rsid w:val="00B50BAA"/>
    <w:rsid w:val="00B51542"/>
    <w:rsid w:val="00B5177F"/>
    <w:rsid w:val="00B52B4B"/>
    <w:rsid w:val="00B52DE7"/>
    <w:rsid w:val="00B5311B"/>
    <w:rsid w:val="00B531C5"/>
    <w:rsid w:val="00B539BD"/>
    <w:rsid w:val="00B5499D"/>
    <w:rsid w:val="00B551CD"/>
    <w:rsid w:val="00B56735"/>
    <w:rsid w:val="00B60219"/>
    <w:rsid w:val="00B604D4"/>
    <w:rsid w:val="00B609D8"/>
    <w:rsid w:val="00B6188D"/>
    <w:rsid w:val="00B61C74"/>
    <w:rsid w:val="00B61DF9"/>
    <w:rsid w:val="00B62CD7"/>
    <w:rsid w:val="00B63071"/>
    <w:rsid w:val="00B6408D"/>
    <w:rsid w:val="00B642C2"/>
    <w:rsid w:val="00B644C8"/>
    <w:rsid w:val="00B6460F"/>
    <w:rsid w:val="00B64BF9"/>
    <w:rsid w:val="00B64E5F"/>
    <w:rsid w:val="00B65011"/>
    <w:rsid w:val="00B6503B"/>
    <w:rsid w:val="00B65B4D"/>
    <w:rsid w:val="00B65BE0"/>
    <w:rsid w:val="00B66265"/>
    <w:rsid w:val="00B664FC"/>
    <w:rsid w:val="00B66CF3"/>
    <w:rsid w:val="00B67E76"/>
    <w:rsid w:val="00B70D19"/>
    <w:rsid w:val="00B71F3F"/>
    <w:rsid w:val="00B73C71"/>
    <w:rsid w:val="00B7416C"/>
    <w:rsid w:val="00B750C0"/>
    <w:rsid w:val="00B758B7"/>
    <w:rsid w:val="00B75BCE"/>
    <w:rsid w:val="00B75BCF"/>
    <w:rsid w:val="00B75C59"/>
    <w:rsid w:val="00B75FC8"/>
    <w:rsid w:val="00B76818"/>
    <w:rsid w:val="00B76D86"/>
    <w:rsid w:val="00B80335"/>
    <w:rsid w:val="00B80374"/>
    <w:rsid w:val="00B809A2"/>
    <w:rsid w:val="00B80F90"/>
    <w:rsid w:val="00B8139B"/>
    <w:rsid w:val="00B82065"/>
    <w:rsid w:val="00B82D4A"/>
    <w:rsid w:val="00B83758"/>
    <w:rsid w:val="00B83C9F"/>
    <w:rsid w:val="00B843AB"/>
    <w:rsid w:val="00B8446C"/>
    <w:rsid w:val="00B84A82"/>
    <w:rsid w:val="00B85AAD"/>
    <w:rsid w:val="00B85EF6"/>
    <w:rsid w:val="00B86073"/>
    <w:rsid w:val="00B86976"/>
    <w:rsid w:val="00B86F4A"/>
    <w:rsid w:val="00B874FE"/>
    <w:rsid w:val="00B87903"/>
    <w:rsid w:val="00B87B6C"/>
    <w:rsid w:val="00B87CCF"/>
    <w:rsid w:val="00B910FF"/>
    <w:rsid w:val="00B91168"/>
    <w:rsid w:val="00B912AD"/>
    <w:rsid w:val="00B91AEA"/>
    <w:rsid w:val="00B91AEC"/>
    <w:rsid w:val="00B928E7"/>
    <w:rsid w:val="00B94E85"/>
    <w:rsid w:val="00B950ED"/>
    <w:rsid w:val="00B95577"/>
    <w:rsid w:val="00B95B6E"/>
    <w:rsid w:val="00B96889"/>
    <w:rsid w:val="00B96897"/>
    <w:rsid w:val="00B9791B"/>
    <w:rsid w:val="00BA0263"/>
    <w:rsid w:val="00BA06D9"/>
    <w:rsid w:val="00BA0737"/>
    <w:rsid w:val="00BA1F5E"/>
    <w:rsid w:val="00BA2420"/>
    <w:rsid w:val="00BA30C4"/>
    <w:rsid w:val="00BA34AB"/>
    <w:rsid w:val="00BA3799"/>
    <w:rsid w:val="00BA39EF"/>
    <w:rsid w:val="00BA3C46"/>
    <w:rsid w:val="00BA41ED"/>
    <w:rsid w:val="00BA6097"/>
    <w:rsid w:val="00BA61BD"/>
    <w:rsid w:val="00BA6A32"/>
    <w:rsid w:val="00BA6C82"/>
    <w:rsid w:val="00BA6E38"/>
    <w:rsid w:val="00BA7C1B"/>
    <w:rsid w:val="00BB0FD4"/>
    <w:rsid w:val="00BB142C"/>
    <w:rsid w:val="00BB27FD"/>
    <w:rsid w:val="00BB3DBB"/>
    <w:rsid w:val="00BB4398"/>
    <w:rsid w:val="00BB456F"/>
    <w:rsid w:val="00BB5041"/>
    <w:rsid w:val="00BB54DA"/>
    <w:rsid w:val="00BB5C05"/>
    <w:rsid w:val="00BB6469"/>
    <w:rsid w:val="00BB69B7"/>
    <w:rsid w:val="00BB6C4E"/>
    <w:rsid w:val="00BB772A"/>
    <w:rsid w:val="00BC0AFC"/>
    <w:rsid w:val="00BC0F87"/>
    <w:rsid w:val="00BC14FA"/>
    <w:rsid w:val="00BC2AC3"/>
    <w:rsid w:val="00BC3EF6"/>
    <w:rsid w:val="00BC4B45"/>
    <w:rsid w:val="00BC4BFC"/>
    <w:rsid w:val="00BC52F2"/>
    <w:rsid w:val="00BC54AE"/>
    <w:rsid w:val="00BC5669"/>
    <w:rsid w:val="00BC58B4"/>
    <w:rsid w:val="00BC6CA4"/>
    <w:rsid w:val="00BC7548"/>
    <w:rsid w:val="00BC7C82"/>
    <w:rsid w:val="00BC7E88"/>
    <w:rsid w:val="00BC7F44"/>
    <w:rsid w:val="00BD0810"/>
    <w:rsid w:val="00BD107F"/>
    <w:rsid w:val="00BD148A"/>
    <w:rsid w:val="00BD193C"/>
    <w:rsid w:val="00BD2745"/>
    <w:rsid w:val="00BD2DC3"/>
    <w:rsid w:val="00BD3BA2"/>
    <w:rsid w:val="00BD3E1D"/>
    <w:rsid w:val="00BD5503"/>
    <w:rsid w:val="00BD564D"/>
    <w:rsid w:val="00BD57C6"/>
    <w:rsid w:val="00BD6500"/>
    <w:rsid w:val="00BD6697"/>
    <w:rsid w:val="00BD67BA"/>
    <w:rsid w:val="00BD6F7A"/>
    <w:rsid w:val="00BD77B5"/>
    <w:rsid w:val="00BD78A8"/>
    <w:rsid w:val="00BD791E"/>
    <w:rsid w:val="00BE0831"/>
    <w:rsid w:val="00BE0DCE"/>
    <w:rsid w:val="00BE116E"/>
    <w:rsid w:val="00BE1360"/>
    <w:rsid w:val="00BE155A"/>
    <w:rsid w:val="00BE2152"/>
    <w:rsid w:val="00BE2338"/>
    <w:rsid w:val="00BE24CD"/>
    <w:rsid w:val="00BE3002"/>
    <w:rsid w:val="00BE3472"/>
    <w:rsid w:val="00BE3E91"/>
    <w:rsid w:val="00BE42B7"/>
    <w:rsid w:val="00BE61CF"/>
    <w:rsid w:val="00BE6B33"/>
    <w:rsid w:val="00BE7636"/>
    <w:rsid w:val="00BE765A"/>
    <w:rsid w:val="00BE76B9"/>
    <w:rsid w:val="00BE7DB4"/>
    <w:rsid w:val="00BF0158"/>
    <w:rsid w:val="00BF047C"/>
    <w:rsid w:val="00BF092F"/>
    <w:rsid w:val="00BF0AC2"/>
    <w:rsid w:val="00BF15E7"/>
    <w:rsid w:val="00BF1E78"/>
    <w:rsid w:val="00BF1F30"/>
    <w:rsid w:val="00BF2CD7"/>
    <w:rsid w:val="00BF2D36"/>
    <w:rsid w:val="00BF3D0C"/>
    <w:rsid w:val="00BF4EEA"/>
    <w:rsid w:val="00BF5D84"/>
    <w:rsid w:val="00BF5E5B"/>
    <w:rsid w:val="00BF61CA"/>
    <w:rsid w:val="00BF6F01"/>
    <w:rsid w:val="00BF7C7F"/>
    <w:rsid w:val="00C00DE4"/>
    <w:rsid w:val="00C01F5A"/>
    <w:rsid w:val="00C02377"/>
    <w:rsid w:val="00C0298F"/>
    <w:rsid w:val="00C02E33"/>
    <w:rsid w:val="00C03165"/>
    <w:rsid w:val="00C05D21"/>
    <w:rsid w:val="00C05D9A"/>
    <w:rsid w:val="00C060BB"/>
    <w:rsid w:val="00C06259"/>
    <w:rsid w:val="00C06D79"/>
    <w:rsid w:val="00C06FC1"/>
    <w:rsid w:val="00C07F47"/>
    <w:rsid w:val="00C11A45"/>
    <w:rsid w:val="00C11D24"/>
    <w:rsid w:val="00C11FF2"/>
    <w:rsid w:val="00C120DC"/>
    <w:rsid w:val="00C130F8"/>
    <w:rsid w:val="00C13326"/>
    <w:rsid w:val="00C1360F"/>
    <w:rsid w:val="00C14120"/>
    <w:rsid w:val="00C14659"/>
    <w:rsid w:val="00C14771"/>
    <w:rsid w:val="00C1521F"/>
    <w:rsid w:val="00C15A6B"/>
    <w:rsid w:val="00C15A6F"/>
    <w:rsid w:val="00C15CEF"/>
    <w:rsid w:val="00C1603E"/>
    <w:rsid w:val="00C16044"/>
    <w:rsid w:val="00C16577"/>
    <w:rsid w:val="00C16A79"/>
    <w:rsid w:val="00C17B10"/>
    <w:rsid w:val="00C17C1E"/>
    <w:rsid w:val="00C20175"/>
    <w:rsid w:val="00C22371"/>
    <w:rsid w:val="00C22E17"/>
    <w:rsid w:val="00C22E78"/>
    <w:rsid w:val="00C23293"/>
    <w:rsid w:val="00C2366B"/>
    <w:rsid w:val="00C24377"/>
    <w:rsid w:val="00C24D93"/>
    <w:rsid w:val="00C253EA"/>
    <w:rsid w:val="00C254C3"/>
    <w:rsid w:val="00C2551A"/>
    <w:rsid w:val="00C25BD2"/>
    <w:rsid w:val="00C26CA9"/>
    <w:rsid w:val="00C27716"/>
    <w:rsid w:val="00C30821"/>
    <w:rsid w:val="00C30E0C"/>
    <w:rsid w:val="00C31006"/>
    <w:rsid w:val="00C312E5"/>
    <w:rsid w:val="00C31471"/>
    <w:rsid w:val="00C318E4"/>
    <w:rsid w:val="00C32236"/>
    <w:rsid w:val="00C3228C"/>
    <w:rsid w:val="00C3230E"/>
    <w:rsid w:val="00C3260F"/>
    <w:rsid w:val="00C327A4"/>
    <w:rsid w:val="00C34226"/>
    <w:rsid w:val="00C345D8"/>
    <w:rsid w:val="00C34660"/>
    <w:rsid w:val="00C357F3"/>
    <w:rsid w:val="00C3584A"/>
    <w:rsid w:val="00C359F8"/>
    <w:rsid w:val="00C367EE"/>
    <w:rsid w:val="00C3697A"/>
    <w:rsid w:val="00C36B71"/>
    <w:rsid w:val="00C37BDE"/>
    <w:rsid w:val="00C37CD2"/>
    <w:rsid w:val="00C4065D"/>
    <w:rsid w:val="00C4082C"/>
    <w:rsid w:val="00C40EC2"/>
    <w:rsid w:val="00C41018"/>
    <w:rsid w:val="00C416E5"/>
    <w:rsid w:val="00C41853"/>
    <w:rsid w:val="00C42347"/>
    <w:rsid w:val="00C434AB"/>
    <w:rsid w:val="00C436BA"/>
    <w:rsid w:val="00C44C54"/>
    <w:rsid w:val="00C44DF5"/>
    <w:rsid w:val="00C456D3"/>
    <w:rsid w:val="00C458C4"/>
    <w:rsid w:val="00C45CCA"/>
    <w:rsid w:val="00C469E7"/>
    <w:rsid w:val="00C470FA"/>
    <w:rsid w:val="00C47FB1"/>
    <w:rsid w:val="00C50074"/>
    <w:rsid w:val="00C51A50"/>
    <w:rsid w:val="00C52BDA"/>
    <w:rsid w:val="00C537FE"/>
    <w:rsid w:val="00C544FC"/>
    <w:rsid w:val="00C54C95"/>
    <w:rsid w:val="00C559F4"/>
    <w:rsid w:val="00C55A94"/>
    <w:rsid w:val="00C575D5"/>
    <w:rsid w:val="00C601E4"/>
    <w:rsid w:val="00C628DF"/>
    <w:rsid w:val="00C62BE9"/>
    <w:rsid w:val="00C642BC"/>
    <w:rsid w:val="00C659FA"/>
    <w:rsid w:val="00C66897"/>
    <w:rsid w:val="00C668FA"/>
    <w:rsid w:val="00C66B97"/>
    <w:rsid w:val="00C67715"/>
    <w:rsid w:val="00C7009B"/>
    <w:rsid w:val="00C7031F"/>
    <w:rsid w:val="00C7113C"/>
    <w:rsid w:val="00C7176B"/>
    <w:rsid w:val="00C72037"/>
    <w:rsid w:val="00C7254C"/>
    <w:rsid w:val="00C72823"/>
    <w:rsid w:val="00C732C8"/>
    <w:rsid w:val="00C73AFE"/>
    <w:rsid w:val="00C75297"/>
    <w:rsid w:val="00C75D23"/>
    <w:rsid w:val="00C76119"/>
    <w:rsid w:val="00C76831"/>
    <w:rsid w:val="00C76AC8"/>
    <w:rsid w:val="00C773D8"/>
    <w:rsid w:val="00C7753F"/>
    <w:rsid w:val="00C80E0A"/>
    <w:rsid w:val="00C812B6"/>
    <w:rsid w:val="00C813F9"/>
    <w:rsid w:val="00C81936"/>
    <w:rsid w:val="00C81C80"/>
    <w:rsid w:val="00C81DF2"/>
    <w:rsid w:val="00C81E2C"/>
    <w:rsid w:val="00C81EED"/>
    <w:rsid w:val="00C81F3B"/>
    <w:rsid w:val="00C82686"/>
    <w:rsid w:val="00C83C97"/>
    <w:rsid w:val="00C83CB2"/>
    <w:rsid w:val="00C83FDF"/>
    <w:rsid w:val="00C84722"/>
    <w:rsid w:val="00C8492D"/>
    <w:rsid w:val="00C854C9"/>
    <w:rsid w:val="00C8645B"/>
    <w:rsid w:val="00C86F4F"/>
    <w:rsid w:val="00C870CE"/>
    <w:rsid w:val="00C90931"/>
    <w:rsid w:val="00C91253"/>
    <w:rsid w:val="00C918D1"/>
    <w:rsid w:val="00C92E43"/>
    <w:rsid w:val="00C9309E"/>
    <w:rsid w:val="00C93296"/>
    <w:rsid w:val="00C9360C"/>
    <w:rsid w:val="00C93E86"/>
    <w:rsid w:val="00C942F0"/>
    <w:rsid w:val="00C9464E"/>
    <w:rsid w:val="00C948BE"/>
    <w:rsid w:val="00C95047"/>
    <w:rsid w:val="00C962FA"/>
    <w:rsid w:val="00C966A8"/>
    <w:rsid w:val="00C96BA3"/>
    <w:rsid w:val="00C973E3"/>
    <w:rsid w:val="00C97BD9"/>
    <w:rsid w:val="00CA0CAF"/>
    <w:rsid w:val="00CA1039"/>
    <w:rsid w:val="00CA12F6"/>
    <w:rsid w:val="00CA1609"/>
    <w:rsid w:val="00CA1E63"/>
    <w:rsid w:val="00CA20ED"/>
    <w:rsid w:val="00CA2CCF"/>
    <w:rsid w:val="00CA3FD8"/>
    <w:rsid w:val="00CA4604"/>
    <w:rsid w:val="00CA4F52"/>
    <w:rsid w:val="00CA5A6A"/>
    <w:rsid w:val="00CA5E21"/>
    <w:rsid w:val="00CA5FBF"/>
    <w:rsid w:val="00CA6FA6"/>
    <w:rsid w:val="00CA791B"/>
    <w:rsid w:val="00CA7E4B"/>
    <w:rsid w:val="00CB044C"/>
    <w:rsid w:val="00CB0504"/>
    <w:rsid w:val="00CB0D52"/>
    <w:rsid w:val="00CB19A1"/>
    <w:rsid w:val="00CB3D17"/>
    <w:rsid w:val="00CB4372"/>
    <w:rsid w:val="00CB45BB"/>
    <w:rsid w:val="00CB50DE"/>
    <w:rsid w:val="00CB5A7C"/>
    <w:rsid w:val="00CB6711"/>
    <w:rsid w:val="00CB7518"/>
    <w:rsid w:val="00CC05FC"/>
    <w:rsid w:val="00CC0A04"/>
    <w:rsid w:val="00CC0D0A"/>
    <w:rsid w:val="00CC34AB"/>
    <w:rsid w:val="00CC34AE"/>
    <w:rsid w:val="00CC36DF"/>
    <w:rsid w:val="00CC4130"/>
    <w:rsid w:val="00CC4B1D"/>
    <w:rsid w:val="00CC4D7D"/>
    <w:rsid w:val="00CC4DE1"/>
    <w:rsid w:val="00CC5655"/>
    <w:rsid w:val="00CC6210"/>
    <w:rsid w:val="00CC6818"/>
    <w:rsid w:val="00CC6DBA"/>
    <w:rsid w:val="00CD010B"/>
    <w:rsid w:val="00CD1746"/>
    <w:rsid w:val="00CD1C91"/>
    <w:rsid w:val="00CD230D"/>
    <w:rsid w:val="00CD26E8"/>
    <w:rsid w:val="00CD2B53"/>
    <w:rsid w:val="00CD2E36"/>
    <w:rsid w:val="00CD32CB"/>
    <w:rsid w:val="00CD33AC"/>
    <w:rsid w:val="00CD47B0"/>
    <w:rsid w:val="00CD4CC2"/>
    <w:rsid w:val="00CD5290"/>
    <w:rsid w:val="00CD55F2"/>
    <w:rsid w:val="00CD6646"/>
    <w:rsid w:val="00CD7889"/>
    <w:rsid w:val="00CE05F2"/>
    <w:rsid w:val="00CE09A3"/>
    <w:rsid w:val="00CE2296"/>
    <w:rsid w:val="00CE2D2C"/>
    <w:rsid w:val="00CE30A4"/>
    <w:rsid w:val="00CE3145"/>
    <w:rsid w:val="00CE3B34"/>
    <w:rsid w:val="00CE3C2C"/>
    <w:rsid w:val="00CE3C79"/>
    <w:rsid w:val="00CE3E6A"/>
    <w:rsid w:val="00CE3F09"/>
    <w:rsid w:val="00CE4360"/>
    <w:rsid w:val="00CE439A"/>
    <w:rsid w:val="00CE45AE"/>
    <w:rsid w:val="00CE47B8"/>
    <w:rsid w:val="00CE4C83"/>
    <w:rsid w:val="00CE5304"/>
    <w:rsid w:val="00CE584C"/>
    <w:rsid w:val="00CE5D81"/>
    <w:rsid w:val="00CE5E6A"/>
    <w:rsid w:val="00CE7B9B"/>
    <w:rsid w:val="00CF0C05"/>
    <w:rsid w:val="00CF3278"/>
    <w:rsid w:val="00CF35F4"/>
    <w:rsid w:val="00CF675E"/>
    <w:rsid w:val="00CF68F9"/>
    <w:rsid w:val="00CF6F01"/>
    <w:rsid w:val="00CF74E1"/>
    <w:rsid w:val="00D00261"/>
    <w:rsid w:val="00D0197A"/>
    <w:rsid w:val="00D0230F"/>
    <w:rsid w:val="00D02B1B"/>
    <w:rsid w:val="00D035E1"/>
    <w:rsid w:val="00D03BB4"/>
    <w:rsid w:val="00D04530"/>
    <w:rsid w:val="00D0585C"/>
    <w:rsid w:val="00D058F2"/>
    <w:rsid w:val="00D05D62"/>
    <w:rsid w:val="00D05D8B"/>
    <w:rsid w:val="00D0666C"/>
    <w:rsid w:val="00D0690D"/>
    <w:rsid w:val="00D075E8"/>
    <w:rsid w:val="00D07663"/>
    <w:rsid w:val="00D07769"/>
    <w:rsid w:val="00D07AD9"/>
    <w:rsid w:val="00D10B52"/>
    <w:rsid w:val="00D1104D"/>
    <w:rsid w:val="00D11A68"/>
    <w:rsid w:val="00D11E51"/>
    <w:rsid w:val="00D1224F"/>
    <w:rsid w:val="00D122E7"/>
    <w:rsid w:val="00D132B3"/>
    <w:rsid w:val="00D13C4A"/>
    <w:rsid w:val="00D13ED0"/>
    <w:rsid w:val="00D14180"/>
    <w:rsid w:val="00D14A7D"/>
    <w:rsid w:val="00D14F35"/>
    <w:rsid w:val="00D15137"/>
    <w:rsid w:val="00D15D78"/>
    <w:rsid w:val="00D15E2B"/>
    <w:rsid w:val="00D16307"/>
    <w:rsid w:val="00D17044"/>
    <w:rsid w:val="00D174AE"/>
    <w:rsid w:val="00D17B42"/>
    <w:rsid w:val="00D200C2"/>
    <w:rsid w:val="00D21EC1"/>
    <w:rsid w:val="00D22A76"/>
    <w:rsid w:val="00D23219"/>
    <w:rsid w:val="00D232A9"/>
    <w:rsid w:val="00D235EA"/>
    <w:rsid w:val="00D23A8C"/>
    <w:rsid w:val="00D23BE2"/>
    <w:rsid w:val="00D241E6"/>
    <w:rsid w:val="00D24418"/>
    <w:rsid w:val="00D248A2"/>
    <w:rsid w:val="00D24D0D"/>
    <w:rsid w:val="00D251CD"/>
    <w:rsid w:val="00D2650D"/>
    <w:rsid w:val="00D26DD0"/>
    <w:rsid w:val="00D271F7"/>
    <w:rsid w:val="00D27607"/>
    <w:rsid w:val="00D27A4E"/>
    <w:rsid w:val="00D27DB9"/>
    <w:rsid w:val="00D30F6B"/>
    <w:rsid w:val="00D311DF"/>
    <w:rsid w:val="00D3189C"/>
    <w:rsid w:val="00D31C83"/>
    <w:rsid w:val="00D3209A"/>
    <w:rsid w:val="00D32160"/>
    <w:rsid w:val="00D32B0A"/>
    <w:rsid w:val="00D331FE"/>
    <w:rsid w:val="00D3465B"/>
    <w:rsid w:val="00D34DEE"/>
    <w:rsid w:val="00D3591E"/>
    <w:rsid w:val="00D359AE"/>
    <w:rsid w:val="00D363EA"/>
    <w:rsid w:val="00D37078"/>
    <w:rsid w:val="00D37100"/>
    <w:rsid w:val="00D408C5"/>
    <w:rsid w:val="00D40EB3"/>
    <w:rsid w:val="00D41014"/>
    <w:rsid w:val="00D41EC0"/>
    <w:rsid w:val="00D42530"/>
    <w:rsid w:val="00D4313E"/>
    <w:rsid w:val="00D4346D"/>
    <w:rsid w:val="00D43C41"/>
    <w:rsid w:val="00D449ED"/>
    <w:rsid w:val="00D44B8C"/>
    <w:rsid w:val="00D45FD5"/>
    <w:rsid w:val="00D4699B"/>
    <w:rsid w:val="00D46AF6"/>
    <w:rsid w:val="00D47746"/>
    <w:rsid w:val="00D477E5"/>
    <w:rsid w:val="00D5065F"/>
    <w:rsid w:val="00D50BA9"/>
    <w:rsid w:val="00D520E4"/>
    <w:rsid w:val="00D52A8E"/>
    <w:rsid w:val="00D53F9F"/>
    <w:rsid w:val="00D55E22"/>
    <w:rsid w:val="00D56192"/>
    <w:rsid w:val="00D56306"/>
    <w:rsid w:val="00D56AEE"/>
    <w:rsid w:val="00D57124"/>
    <w:rsid w:val="00D57603"/>
    <w:rsid w:val="00D57DFA"/>
    <w:rsid w:val="00D6028C"/>
    <w:rsid w:val="00D6056A"/>
    <w:rsid w:val="00D60F93"/>
    <w:rsid w:val="00D61D8D"/>
    <w:rsid w:val="00D6258D"/>
    <w:rsid w:val="00D62667"/>
    <w:rsid w:val="00D62B7D"/>
    <w:rsid w:val="00D63416"/>
    <w:rsid w:val="00D640B5"/>
    <w:rsid w:val="00D64952"/>
    <w:rsid w:val="00D64BDA"/>
    <w:rsid w:val="00D64BDE"/>
    <w:rsid w:val="00D64C65"/>
    <w:rsid w:val="00D6527F"/>
    <w:rsid w:val="00D658E3"/>
    <w:rsid w:val="00D6591E"/>
    <w:rsid w:val="00D662D5"/>
    <w:rsid w:val="00D667F8"/>
    <w:rsid w:val="00D66994"/>
    <w:rsid w:val="00D70562"/>
    <w:rsid w:val="00D70BE1"/>
    <w:rsid w:val="00D71C66"/>
    <w:rsid w:val="00D71D2D"/>
    <w:rsid w:val="00D7200D"/>
    <w:rsid w:val="00D72624"/>
    <w:rsid w:val="00D72B37"/>
    <w:rsid w:val="00D73FD9"/>
    <w:rsid w:val="00D747FF"/>
    <w:rsid w:val="00D74A57"/>
    <w:rsid w:val="00D752BE"/>
    <w:rsid w:val="00D75A8F"/>
    <w:rsid w:val="00D75FBC"/>
    <w:rsid w:val="00D76012"/>
    <w:rsid w:val="00D76922"/>
    <w:rsid w:val="00D76D5C"/>
    <w:rsid w:val="00D775DC"/>
    <w:rsid w:val="00D80354"/>
    <w:rsid w:val="00D80465"/>
    <w:rsid w:val="00D8057E"/>
    <w:rsid w:val="00D80818"/>
    <w:rsid w:val="00D80FFA"/>
    <w:rsid w:val="00D826DE"/>
    <w:rsid w:val="00D82AB6"/>
    <w:rsid w:val="00D82C73"/>
    <w:rsid w:val="00D836CA"/>
    <w:rsid w:val="00D84DE2"/>
    <w:rsid w:val="00D85C16"/>
    <w:rsid w:val="00D86E5A"/>
    <w:rsid w:val="00D86F99"/>
    <w:rsid w:val="00D86FDF"/>
    <w:rsid w:val="00D86FF5"/>
    <w:rsid w:val="00D87FEA"/>
    <w:rsid w:val="00D90733"/>
    <w:rsid w:val="00D907EF"/>
    <w:rsid w:val="00D90CB7"/>
    <w:rsid w:val="00D9146A"/>
    <w:rsid w:val="00D921BF"/>
    <w:rsid w:val="00D930ED"/>
    <w:rsid w:val="00D938D4"/>
    <w:rsid w:val="00D93EAB"/>
    <w:rsid w:val="00D9503D"/>
    <w:rsid w:val="00D95924"/>
    <w:rsid w:val="00D95B0A"/>
    <w:rsid w:val="00D95BF2"/>
    <w:rsid w:val="00D96227"/>
    <w:rsid w:val="00D966E3"/>
    <w:rsid w:val="00D979D7"/>
    <w:rsid w:val="00D97A63"/>
    <w:rsid w:val="00D97DA3"/>
    <w:rsid w:val="00DA0ABA"/>
    <w:rsid w:val="00DA1D01"/>
    <w:rsid w:val="00DA313B"/>
    <w:rsid w:val="00DA39C1"/>
    <w:rsid w:val="00DA3E59"/>
    <w:rsid w:val="00DA4B27"/>
    <w:rsid w:val="00DA4D8C"/>
    <w:rsid w:val="00DA51CB"/>
    <w:rsid w:val="00DA5807"/>
    <w:rsid w:val="00DA6064"/>
    <w:rsid w:val="00DA6B4A"/>
    <w:rsid w:val="00DA6C7D"/>
    <w:rsid w:val="00DA7353"/>
    <w:rsid w:val="00DA7486"/>
    <w:rsid w:val="00DA7D98"/>
    <w:rsid w:val="00DA7FAB"/>
    <w:rsid w:val="00DB0915"/>
    <w:rsid w:val="00DB0F0F"/>
    <w:rsid w:val="00DB1286"/>
    <w:rsid w:val="00DB24A2"/>
    <w:rsid w:val="00DB374C"/>
    <w:rsid w:val="00DB37D0"/>
    <w:rsid w:val="00DB44E1"/>
    <w:rsid w:val="00DB5941"/>
    <w:rsid w:val="00DB5CE2"/>
    <w:rsid w:val="00DB662D"/>
    <w:rsid w:val="00DB68CA"/>
    <w:rsid w:val="00DB6CC9"/>
    <w:rsid w:val="00DB7FB6"/>
    <w:rsid w:val="00DC1A15"/>
    <w:rsid w:val="00DC1D7B"/>
    <w:rsid w:val="00DC2764"/>
    <w:rsid w:val="00DC3B99"/>
    <w:rsid w:val="00DC5D36"/>
    <w:rsid w:val="00DC60A2"/>
    <w:rsid w:val="00DC6311"/>
    <w:rsid w:val="00DC66EB"/>
    <w:rsid w:val="00DC6E88"/>
    <w:rsid w:val="00DC6ED2"/>
    <w:rsid w:val="00DC6F95"/>
    <w:rsid w:val="00DC71A1"/>
    <w:rsid w:val="00DC7290"/>
    <w:rsid w:val="00DC74A5"/>
    <w:rsid w:val="00DC7B3D"/>
    <w:rsid w:val="00DC7E97"/>
    <w:rsid w:val="00DD0437"/>
    <w:rsid w:val="00DD0823"/>
    <w:rsid w:val="00DD0A88"/>
    <w:rsid w:val="00DD0C2C"/>
    <w:rsid w:val="00DD0EA7"/>
    <w:rsid w:val="00DD1182"/>
    <w:rsid w:val="00DD1424"/>
    <w:rsid w:val="00DD15BE"/>
    <w:rsid w:val="00DD16BB"/>
    <w:rsid w:val="00DD1AA4"/>
    <w:rsid w:val="00DD230C"/>
    <w:rsid w:val="00DD2BD0"/>
    <w:rsid w:val="00DD2FAF"/>
    <w:rsid w:val="00DD3B81"/>
    <w:rsid w:val="00DD413F"/>
    <w:rsid w:val="00DD561F"/>
    <w:rsid w:val="00DD5D32"/>
    <w:rsid w:val="00DD5DC5"/>
    <w:rsid w:val="00DD5E49"/>
    <w:rsid w:val="00DD69DC"/>
    <w:rsid w:val="00DD6C37"/>
    <w:rsid w:val="00DD78A4"/>
    <w:rsid w:val="00DD7A26"/>
    <w:rsid w:val="00DD7A94"/>
    <w:rsid w:val="00DE01AA"/>
    <w:rsid w:val="00DE0E92"/>
    <w:rsid w:val="00DE2E74"/>
    <w:rsid w:val="00DE44DB"/>
    <w:rsid w:val="00DE4D79"/>
    <w:rsid w:val="00DE4F4D"/>
    <w:rsid w:val="00DE5CC0"/>
    <w:rsid w:val="00DE670E"/>
    <w:rsid w:val="00DE6765"/>
    <w:rsid w:val="00DE67D6"/>
    <w:rsid w:val="00DE68EA"/>
    <w:rsid w:val="00DE6E75"/>
    <w:rsid w:val="00DE7654"/>
    <w:rsid w:val="00DE7FD6"/>
    <w:rsid w:val="00DF0044"/>
    <w:rsid w:val="00DF101A"/>
    <w:rsid w:val="00DF13CD"/>
    <w:rsid w:val="00DF1585"/>
    <w:rsid w:val="00DF1ABE"/>
    <w:rsid w:val="00DF2C35"/>
    <w:rsid w:val="00DF2FFB"/>
    <w:rsid w:val="00DF3070"/>
    <w:rsid w:val="00DF35AD"/>
    <w:rsid w:val="00DF36CB"/>
    <w:rsid w:val="00DF38B1"/>
    <w:rsid w:val="00DF3BB2"/>
    <w:rsid w:val="00DF493D"/>
    <w:rsid w:val="00DF58BB"/>
    <w:rsid w:val="00DF59B0"/>
    <w:rsid w:val="00DF6BA4"/>
    <w:rsid w:val="00DF70BB"/>
    <w:rsid w:val="00DF75BF"/>
    <w:rsid w:val="00DF78B8"/>
    <w:rsid w:val="00DF7AE8"/>
    <w:rsid w:val="00DF7BB7"/>
    <w:rsid w:val="00E01746"/>
    <w:rsid w:val="00E01B1F"/>
    <w:rsid w:val="00E01F10"/>
    <w:rsid w:val="00E020E6"/>
    <w:rsid w:val="00E037B3"/>
    <w:rsid w:val="00E03C87"/>
    <w:rsid w:val="00E04577"/>
    <w:rsid w:val="00E046ED"/>
    <w:rsid w:val="00E049F5"/>
    <w:rsid w:val="00E053BF"/>
    <w:rsid w:val="00E0629B"/>
    <w:rsid w:val="00E0666A"/>
    <w:rsid w:val="00E068DB"/>
    <w:rsid w:val="00E0696B"/>
    <w:rsid w:val="00E06B31"/>
    <w:rsid w:val="00E075BC"/>
    <w:rsid w:val="00E075E2"/>
    <w:rsid w:val="00E07E5B"/>
    <w:rsid w:val="00E10EC9"/>
    <w:rsid w:val="00E11132"/>
    <w:rsid w:val="00E11E28"/>
    <w:rsid w:val="00E120DB"/>
    <w:rsid w:val="00E13352"/>
    <w:rsid w:val="00E1372B"/>
    <w:rsid w:val="00E14E80"/>
    <w:rsid w:val="00E1528F"/>
    <w:rsid w:val="00E15BDD"/>
    <w:rsid w:val="00E15EBC"/>
    <w:rsid w:val="00E16257"/>
    <w:rsid w:val="00E16588"/>
    <w:rsid w:val="00E16654"/>
    <w:rsid w:val="00E16925"/>
    <w:rsid w:val="00E16FF5"/>
    <w:rsid w:val="00E17484"/>
    <w:rsid w:val="00E17582"/>
    <w:rsid w:val="00E177E5"/>
    <w:rsid w:val="00E20A84"/>
    <w:rsid w:val="00E20C08"/>
    <w:rsid w:val="00E21320"/>
    <w:rsid w:val="00E21821"/>
    <w:rsid w:val="00E21991"/>
    <w:rsid w:val="00E21BE9"/>
    <w:rsid w:val="00E22389"/>
    <w:rsid w:val="00E22692"/>
    <w:rsid w:val="00E22AB6"/>
    <w:rsid w:val="00E22B89"/>
    <w:rsid w:val="00E22FB8"/>
    <w:rsid w:val="00E230D0"/>
    <w:rsid w:val="00E233F7"/>
    <w:rsid w:val="00E24BB7"/>
    <w:rsid w:val="00E24FDF"/>
    <w:rsid w:val="00E258F2"/>
    <w:rsid w:val="00E263E5"/>
    <w:rsid w:val="00E263E6"/>
    <w:rsid w:val="00E26C25"/>
    <w:rsid w:val="00E27725"/>
    <w:rsid w:val="00E27FBA"/>
    <w:rsid w:val="00E30F91"/>
    <w:rsid w:val="00E318AD"/>
    <w:rsid w:val="00E32078"/>
    <w:rsid w:val="00E32650"/>
    <w:rsid w:val="00E333DD"/>
    <w:rsid w:val="00E33CF3"/>
    <w:rsid w:val="00E345FB"/>
    <w:rsid w:val="00E34D20"/>
    <w:rsid w:val="00E35051"/>
    <w:rsid w:val="00E35097"/>
    <w:rsid w:val="00E363CE"/>
    <w:rsid w:val="00E3726D"/>
    <w:rsid w:val="00E37664"/>
    <w:rsid w:val="00E37D10"/>
    <w:rsid w:val="00E37FB1"/>
    <w:rsid w:val="00E40279"/>
    <w:rsid w:val="00E4089B"/>
    <w:rsid w:val="00E40903"/>
    <w:rsid w:val="00E40A11"/>
    <w:rsid w:val="00E40A2B"/>
    <w:rsid w:val="00E43410"/>
    <w:rsid w:val="00E43413"/>
    <w:rsid w:val="00E4372C"/>
    <w:rsid w:val="00E43A77"/>
    <w:rsid w:val="00E453EE"/>
    <w:rsid w:val="00E45F4B"/>
    <w:rsid w:val="00E4634B"/>
    <w:rsid w:val="00E46642"/>
    <w:rsid w:val="00E46BC4"/>
    <w:rsid w:val="00E47756"/>
    <w:rsid w:val="00E501CB"/>
    <w:rsid w:val="00E50C66"/>
    <w:rsid w:val="00E50C6A"/>
    <w:rsid w:val="00E51485"/>
    <w:rsid w:val="00E51D69"/>
    <w:rsid w:val="00E52082"/>
    <w:rsid w:val="00E53487"/>
    <w:rsid w:val="00E53E16"/>
    <w:rsid w:val="00E54C0A"/>
    <w:rsid w:val="00E55314"/>
    <w:rsid w:val="00E55944"/>
    <w:rsid w:val="00E55ABC"/>
    <w:rsid w:val="00E55BDB"/>
    <w:rsid w:val="00E56162"/>
    <w:rsid w:val="00E56225"/>
    <w:rsid w:val="00E56639"/>
    <w:rsid w:val="00E5664C"/>
    <w:rsid w:val="00E570E1"/>
    <w:rsid w:val="00E570F2"/>
    <w:rsid w:val="00E574D4"/>
    <w:rsid w:val="00E57B74"/>
    <w:rsid w:val="00E60C17"/>
    <w:rsid w:val="00E60DBB"/>
    <w:rsid w:val="00E61A44"/>
    <w:rsid w:val="00E61A9E"/>
    <w:rsid w:val="00E628DC"/>
    <w:rsid w:val="00E62F29"/>
    <w:rsid w:val="00E638F7"/>
    <w:rsid w:val="00E63956"/>
    <w:rsid w:val="00E63D4E"/>
    <w:rsid w:val="00E6489E"/>
    <w:rsid w:val="00E653A2"/>
    <w:rsid w:val="00E66382"/>
    <w:rsid w:val="00E667B5"/>
    <w:rsid w:val="00E67988"/>
    <w:rsid w:val="00E70C40"/>
    <w:rsid w:val="00E717A5"/>
    <w:rsid w:val="00E718CB"/>
    <w:rsid w:val="00E7192D"/>
    <w:rsid w:val="00E71DFF"/>
    <w:rsid w:val="00E72F41"/>
    <w:rsid w:val="00E73250"/>
    <w:rsid w:val="00E7357D"/>
    <w:rsid w:val="00E73885"/>
    <w:rsid w:val="00E741BA"/>
    <w:rsid w:val="00E74D03"/>
    <w:rsid w:val="00E75102"/>
    <w:rsid w:val="00E7586C"/>
    <w:rsid w:val="00E75B97"/>
    <w:rsid w:val="00E75DE6"/>
    <w:rsid w:val="00E76F66"/>
    <w:rsid w:val="00E775CA"/>
    <w:rsid w:val="00E77A17"/>
    <w:rsid w:val="00E77E8D"/>
    <w:rsid w:val="00E801E7"/>
    <w:rsid w:val="00E8030D"/>
    <w:rsid w:val="00E8040D"/>
    <w:rsid w:val="00E822BA"/>
    <w:rsid w:val="00E82A17"/>
    <w:rsid w:val="00E83583"/>
    <w:rsid w:val="00E84B9A"/>
    <w:rsid w:val="00E84F50"/>
    <w:rsid w:val="00E85CA8"/>
    <w:rsid w:val="00E8629F"/>
    <w:rsid w:val="00E86442"/>
    <w:rsid w:val="00E867ED"/>
    <w:rsid w:val="00E86EE4"/>
    <w:rsid w:val="00E870B6"/>
    <w:rsid w:val="00E87373"/>
    <w:rsid w:val="00E8759D"/>
    <w:rsid w:val="00E875D0"/>
    <w:rsid w:val="00E87634"/>
    <w:rsid w:val="00E87979"/>
    <w:rsid w:val="00E87E48"/>
    <w:rsid w:val="00E9051D"/>
    <w:rsid w:val="00E920D8"/>
    <w:rsid w:val="00E92846"/>
    <w:rsid w:val="00E93052"/>
    <w:rsid w:val="00E93697"/>
    <w:rsid w:val="00E93FE5"/>
    <w:rsid w:val="00E94B18"/>
    <w:rsid w:val="00E94C08"/>
    <w:rsid w:val="00E94F16"/>
    <w:rsid w:val="00E94FB4"/>
    <w:rsid w:val="00E95081"/>
    <w:rsid w:val="00E97F55"/>
    <w:rsid w:val="00EA01F0"/>
    <w:rsid w:val="00EA052E"/>
    <w:rsid w:val="00EA088B"/>
    <w:rsid w:val="00EA166B"/>
    <w:rsid w:val="00EA1E1D"/>
    <w:rsid w:val="00EA2004"/>
    <w:rsid w:val="00EA3A26"/>
    <w:rsid w:val="00EA3C24"/>
    <w:rsid w:val="00EA4465"/>
    <w:rsid w:val="00EA4847"/>
    <w:rsid w:val="00EA497A"/>
    <w:rsid w:val="00EA5265"/>
    <w:rsid w:val="00EA57FD"/>
    <w:rsid w:val="00EA5997"/>
    <w:rsid w:val="00EA5E4B"/>
    <w:rsid w:val="00EA6E50"/>
    <w:rsid w:val="00EA707C"/>
    <w:rsid w:val="00EA7C65"/>
    <w:rsid w:val="00EB04FF"/>
    <w:rsid w:val="00EB0BD0"/>
    <w:rsid w:val="00EB0F3D"/>
    <w:rsid w:val="00EB174A"/>
    <w:rsid w:val="00EB1BE7"/>
    <w:rsid w:val="00EB1F08"/>
    <w:rsid w:val="00EB3045"/>
    <w:rsid w:val="00EB37DE"/>
    <w:rsid w:val="00EB3B50"/>
    <w:rsid w:val="00EB5A77"/>
    <w:rsid w:val="00EB5B01"/>
    <w:rsid w:val="00EB5CFE"/>
    <w:rsid w:val="00EB6332"/>
    <w:rsid w:val="00EB7076"/>
    <w:rsid w:val="00EB7BB8"/>
    <w:rsid w:val="00EB7CF6"/>
    <w:rsid w:val="00EC00E0"/>
    <w:rsid w:val="00EC03D5"/>
    <w:rsid w:val="00EC14A9"/>
    <w:rsid w:val="00EC1927"/>
    <w:rsid w:val="00EC256A"/>
    <w:rsid w:val="00EC29BD"/>
    <w:rsid w:val="00EC2E2F"/>
    <w:rsid w:val="00EC565F"/>
    <w:rsid w:val="00EC5BD1"/>
    <w:rsid w:val="00EC6CF4"/>
    <w:rsid w:val="00ED00D8"/>
    <w:rsid w:val="00ED013C"/>
    <w:rsid w:val="00ED066D"/>
    <w:rsid w:val="00ED157D"/>
    <w:rsid w:val="00ED1937"/>
    <w:rsid w:val="00ED3FAC"/>
    <w:rsid w:val="00ED42D8"/>
    <w:rsid w:val="00ED4793"/>
    <w:rsid w:val="00ED547A"/>
    <w:rsid w:val="00ED5501"/>
    <w:rsid w:val="00ED5641"/>
    <w:rsid w:val="00ED58F0"/>
    <w:rsid w:val="00ED5AC4"/>
    <w:rsid w:val="00ED5C95"/>
    <w:rsid w:val="00ED7DC4"/>
    <w:rsid w:val="00EE0083"/>
    <w:rsid w:val="00EE0320"/>
    <w:rsid w:val="00EE0564"/>
    <w:rsid w:val="00EE084A"/>
    <w:rsid w:val="00EE0AE2"/>
    <w:rsid w:val="00EE1186"/>
    <w:rsid w:val="00EE15C1"/>
    <w:rsid w:val="00EE160E"/>
    <w:rsid w:val="00EE2847"/>
    <w:rsid w:val="00EE2BDD"/>
    <w:rsid w:val="00EE3E05"/>
    <w:rsid w:val="00EE52C7"/>
    <w:rsid w:val="00EE52FC"/>
    <w:rsid w:val="00EE5480"/>
    <w:rsid w:val="00EE56F6"/>
    <w:rsid w:val="00EE5B78"/>
    <w:rsid w:val="00EE6C31"/>
    <w:rsid w:val="00EE6E95"/>
    <w:rsid w:val="00EE6EED"/>
    <w:rsid w:val="00EE6EF5"/>
    <w:rsid w:val="00EE78ED"/>
    <w:rsid w:val="00EE7BFB"/>
    <w:rsid w:val="00EF08E1"/>
    <w:rsid w:val="00EF152A"/>
    <w:rsid w:val="00EF1B85"/>
    <w:rsid w:val="00EF22AF"/>
    <w:rsid w:val="00EF2C06"/>
    <w:rsid w:val="00EF3F7B"/>
    <w:rsid w:val="00EF476D"/>
    <w:rsid w:val="00EF4B7B"/>
    <w:rsid w:val="00EF5115"/>
    <w:rsid w:val="00EF57A5"/>
    <w:rsid w:val="00EF5923"/>
    <w:rsid w:val="00EF5D3E"/>
    <w:rsid w:val="00EF5DA7"/>
    <w:rsid w:val="00EF6057"/>
    <w:rsid w:val="00EF69CB"/>
    <w:rsid w:val="00EF69DC"/>
    <w:rsid w:val="00F001FA"/>
    <w:rsid w:val="00F020D4"/>
    <w:rsid w:val="00F021D9"/>
    <w:rsid w:val="00F022C7"/>
    <w:rsid w:val="00F02959"/>
    <w:rsid w:val="00F02B54"/>
    <w:rsid w:val="00F035EB"/>
    <w:rsid w:val="00F036E1"/>
    <w:rsid w:val="00F0383C"/>
    <w:rsid w:val="00F04044"/>
    <w:rsid w:val="00F04382"/>
    <w:rsid w:val="00F04E36"/>
    <w:rsid w:val="00F05D0B"/>
    <w:rsid w:val="00F05F19"/>
    <w:rsid w:val="00F06C88"/>
    <w:rsid w:val="00F072D8"/>
    <w:rsid w:val="00F07A0B"/>
    <w:rsid w:val="00F10DF7"/>
    <w:rsid w:val="00F11799"/>
    <w:rsid w:val="00F1196F"/>
    <w:rsid w:val="00F11DB7"/>
    <w:rsid w:val="00F11FEF"/>
    <w:rsid w:val="00F12453"/>
    <w:rsid w:val="00F129F3"/>
    <w:rsid w:val="00F137CD"/>
    <w:rsid w:val="00F13AE0"/>
    <w:rsid w:val="00F1477C"/>
    <w:rsid w:val="00F14DCA"/>
    <w:rsid w:val="00F150E6"/>
    <w:rsid w:val="00F155D7"/>
    <w:rsid w:val="00F15877"/>
    <w:rsid w:val="00F161FC"/>
    <w:rsid w:val="00F16589"/>
    <w:rsid w:val="00F1703F"/>
    <w:rsid w:val="00F1707A"/>
    <w:rsid w:val="00F1715F"/>
    <w:rsid w:val="00F17969"/>
    <w:rsid w:val="00F1799A"/>
    <w:rsid w:val="00F20101"/>
    <w:rsid w:val="00F20A0A"/>
    <w:rsid w:val="00F20E11"/>
    <w:rsid w:val="00F2111F"/>
    <w:rsid w:val="00F21549"/>
    <w:rsid w:val="00F21FC3"/>
    <w:rsid w:val="00F22232"/>
    <w:rsid w:val="00F22584"/>
    <w:rsid w:val="00F23236"/>
    <w:rsid w:val="00F23838"/>
    <w:rsid w:val="00F23885"/>
    <w:rsid w:val="00F23898"/>
    <w:rsid w:val="00F23AC8"/>
    <w:rsid w:val="00F23F01"/>
    <w:rsid w:val="00F2487F"/>
    <w:rsid w:val="00F248BF"/>
    <w:rsid w:val="00F24F9B"/>
    <w:rsid w:val="00F25B8E"/>
    <w:rsid w:val="00F27DEA"/>
    <w:rsid w:val="00F30545"/>
    <w:rsid w:val="00F3057B"/>
    <w:rsid w:val="00F308A6"/>
    <w:rsid w:val="00F31FF3"/>
    <w:rsid w:val="00F3217C"/>
    <w:rsid w:val="00F3253C"/>
    <w:rsid w:val="00F33898"/>
    <w:rsid w:val="00F3423B"/>
    <w:rsid w:val="00F34324"/>
    <w:rsid w:val="00F344B2"/>
    <w:rsid w:val="00F34521"/>
    <w:rsid w:val="00F348A7"/>
    <w:rsid w:val="00F352AE"/>
    <w:rsid w:val="00F357FD"/>
    <w:rsid w:val="00F35B54"/>
    <w:rsid w:val="00F369D3"/>
    <w:rsid w:val="00F373BF"/>
    <w:rsid w:val="00F4069C"/>
    <w:rsid w:val="00F4124E"/>
    <w:rsid w:val="00F41267"/>
    <w:rsid w:val="00F415BB"/>
    <w:rsid w:val="00F4197F"/>
    <w:rsid w:val="00F4235C"/>
    <w:rsid w:val="00F42BDF"/>
    <w:rsid w:val="00F42C52"/>
    <w:rsid w:val="00F43AC1"/>
    <w:rsid w:val="00F44187"/>
    <w:rsid w:val="00F451EE"/>
    <w:rsid w:val="00F45267"/>
    <w:rsid w:val="00F455FA"/>
    <w:rsid w:val="00F46F48"/>
    <w:rsid w:val="00F47598"/>
    <w:rsid w:val="00F4799F"/>
    <w:rsid w:val="00F50005"/>
    <w:rsid w:val="00F50634"/>
    <w:rsid w:val="00F50643"/>
    <w:rsid w:val="00F50995"/>
    <w:rsid w:val="00F5165E"/>
    <w:rsid w:val="00F5196C"/>
    <w:rsid w:val="00F52B17"/>
    <w:rsid w:val="00F52B51"/>
    <w:rsid w:val="00F53247"/>
    <w:rsid w:val="00F5343F"/>
    <w:rsid w:val="00F534DC"/>
    <w:rsid w:val="00F53BEB"/>
    <w:rsid w:val="00F53DB1"/>
    <w:rsid w:val="00F54C9A"/>
    <w:rsid w:val="00F56086"/>
    <w:rsid w:val="00F5629A"/>
    <w:rsid w:val="00F56CC6"/>
    <w:rsid w:val="00F57369"/>
    <w:rsid w:val="00F57839"/>
    <w:rsid w:val="00F5797F"/>
    <w:rsid w:val="00F57CE4"/>
    <w:rsid w:val="00F60A1D"/>
    <w:rsid w:val="00F60EF8"/>
    <w:rsid w:val="00F61215"/>
    <w:rsid w:val="00F612B4"/>
    <w:rsid w:val="00F63976"/>
    <w:rsid w:val="00F63F64"/>
    <w:rsid w:val="00F6416A"/>
    <w:rsid w:val="00F641AE"/>
    <w:rsid w:val="00F64820"/>
    <w:rsid w:val="00F6497A"/>
    <w:rsid w:val="00F64AFB"/>
    <w:rsid w:val="00F64B3E"/>
    <w:rsid w:val="00F65259"/>
    <w:rsid w:val="00F6609D"/>
    <w:rsid w:val="00F6634D"/>
    <w:rsid w:val="00F671CE"/>
    <w:rsid w:val="00F67903"/>
    <w:rsid w:val="00F67A62"/>
    <w:rsid w:val="00F714CA"/>
    <w:rsid w:val="00F7224D"/>
    <w:rsid w:val="00F728C4"/>
    <w:rsid w:val="00F73A77"/>
    <w:rsid w:val="00F73B16"/>
    <w:rsid w:val="00F741DB"/>
    <w:rsid w:val="00F74444"/>
    <w:rsid w:val="00F744BB"/>
    <w:rsid w:val="00F751D1"/>
    <w:rsid w:val="00F75434"/>
    <w:rsid w:val="00F75696"/>
    <w:rsid w:val="00F75870"/>
    <w:rsid w:val="00F75899"/>
    <w:rsid w:val="00F75A4F"/>
    <w:rsid w:val="00F7665A"/>
    <w:rsid w:val="00F76B9A"/>
    <w:rsid w:val="00F76F8D"/>
    <w:rsid w:val="00F778EA"/>
    <w:rsid w:val="00F77BA4"/>
    <w:rsid w:val="00F805AE"/>
    <w:rsid w:val="00F80B51"/>
    <w:rsid w:val="00F80E68"/>
    <w:rsid w:val="00F813D1"/>
    <w:rsid w:val="00F81655"/>
    <w:rsid w:val="00F81DBA"/>
    <w:rsid w:val="00F8381E"/>
    <w:rsid w:val="00F838F2"/>
    <w:rsid w:val="00F83B2D"/>
    <w:rsid w:val="00F84364"/>
    <w:rsid w:val="00F84BEB"/>
    <w:rsid w:val="00F85C9E"/>
    <w:rsid w:val="00F87C10"/>
    <w:rsid w:val="00F902A1"/>
    <w:rsid w:val="00F902C3"/>
    <w:rsid w:val="00F90A50"/>
    <w:rsid w:val="00F90D35"/>
    <w:rsid w:val="00F9137A"/>
    <w:rsid w:val="00F9170D"/>
    <w:rsid w:val="00F91EE9"/>
    <w:rsid w:val="00F9264C"/>
    <w:rsid w:val="00F9269A"/>
    <w:rsid w:val="00F92E89"/>
    <w:rsid w:val="00F93A68"/>
    <w:rsid w:val="00F93EA0"/>
    <w:rsid w:val="00F94466"/>
    <w:rsid w:val="00F9492C"/>
    <w:rsid w:val="00F952F7"/>
    <w:rsid w:val="00F95BC3"/>
    <w:rsid w:val="00F95CC3"/>
    <w:rsid w:val="00F96267"/>
    <w:rsid w:val="00F9767B"/>
    <w:rsid w:val="00F9790A"/>
    <w:rsid w:val="00F97C65"/>
    <w:rsid w:val="00FA0E0F"/>
    <w:rsid w:val="00FA11BF"/>
    <w:rsid w:val="00FA13D8"/>
    <w:rsid w:val="00FA149C"/>
    <w:rsid w:val="00FA1E72"/>
    <w:rsid w:val="00FA2747"/>
    <w:rsid w:val="00FA2792"/>
    <w:rsid w:val="00FA2A91"/>
    <w:rsid w:val="00FA2E4F"/>
    <w:rsid w:val="00FA30D4"/>
    <w:rsid w:val="00FA3174"/>
    <w:rsid w:val="00FA3792"/>
    <w:rsid w:val="00FA41EB"/>
    <w:rsid w:val="00FA514F"/>
    <w:rsid w:val="00FA5C95"/>
    <w:rsid w:val="00FB0BD9"/>
    <w:rsid w:val="00FB2299"/>
    <w:rsid w:val="00FB273E"/>
    <w:rsid w:val="00FB280A"/>
    <w:rsid w:val="00FB324F"/>
    <w:rsid w:val="00FB416F"/>
    <w:rsid w:val="00FB42DC"/>
    <w:rsid w:val="00FB50AF"/>
    <w:rsid w:val="00FB545C"/>
    <w:rsid w:val="00FB6166"/>
    <w:rsid w:val="00FB63E3"/>
    <w:rsid w:val="00FB7368"/>
    <w:rsid w:val="00FB745A"/>
    <w:rsid w:val="00FB7738"/>
    <w:rsid w:val="00FB7D68"/>
    <w:rsid w:val="00FC051F"/>
    <w:rsid w:val="00FC06B8"/>
    <w:rsid w:val="00FC091B"/>
    <w:rsid w:val="00FC0B6E"/>
    <w:rsid w:val="00FC14E7"/>
    <w:rsid w:val="00FC17E4"/>
    <w:rsid w:val="00FC1B45"/>
    <w:rsid w:val="00FC1C9F"/>
    <w:rsid w:val="00FC2D9E"/>
    <w:rsid w:val="00FC3061"/>
    <w:rsid w:val="00FC38F9"/>
    <w:rsid w:val="00FC3C19"/>
    <w:rsid w:val="00FC46BC"/>
    <w:rsid w:val="00FC4D07"/>
    <w:rsid w:val="00FC4E80"/>
    <w:rsid w:val="00FC4F42"/>
    <w:rsid w:val="00FC531D"/>
    <w:rsid w:val="00FC65B9"/>
    <w:rsid w:val="00FC65CE"/>
    <w:rsid w:val="00FC69F5"/>
    <w:rsid w:val="00FD0112"/>
    <w:rsid w:val="00FD063A"/>
    <w:rsid w:val="00FD1F20"/>
    <w:rsid w:val="00FD25E3"/>
    <w:rsid w:val="00FD35CB"/>
    <w:rsid w:val="00FD3A95"/>
    <w:rsid w:val="00FD3FA0"/>
    <w:rsid w:val="00FD45BD"/>
    <w:rsid w:val="00FD4DF8"/>
    <w:rsid w:val="00FD53EE"/>
    <w:rsid w:val="00FD5595"/>
    <w:rsid w:val="00FD5F36"/>
    <w:rsid w:val="00FD63E5"/>
    <w:rsid w:val="00FD769A"/>
    <w:rsid w:val="00FD7C40"/>
    <w:rsid w:val="00FE110C"/>
    <w:rsid w:val="00FE1444"/>
    <w:rsid w:val="00FE15D9"/>
    <w:rsid w:val="00FE17ED"/>
    <w:rsid w:val="00FE23C5"/>
    <w:rsid w:val="00FE30D7"/>
    <w:rsid w:val="00FE3C4C"/>
    <w:rsid w:val="00FE3DB4"/>
    <w:rsid w:val="00FE3FA8"/>
    <w:rsid w:val="00FE60A4"/>
    <w:rsid w:val="00FE629D"/>
    <w:rsid w:val="00FE6570"/>
    <w:rsid w:val="00FE6731"/>
    <w:rsid w:val="00FE6C3D"/>
    <w:rsid w:val="00FE709C"/>
    <w:rsid w:val="00FE76DD"/>
    <w:rsid w:val="00FE794B"/>
    <w:rsid w:val="00FE7996"/>
    <w:rsid w:val="00FE7ADC"/>
    <w:rsid w:val="00FE7B9F"/>
    <w:rsid w:val="00FE7F06"/>
    <w:rsid w:val="00FF027E"/>
    <w:rsid w:val="00FF0C15"/>
    <w:rsid w:val="00FF2383"/>
    <w:rsid w:val="00FF3335"/>
    <w:rsid w:val="00FF34A0"/>
    <w:rsid w:val="00FF3615"/>
    <w:rsid w:val="00FF37ED"/>
    <w:rsid w:val="00FF380C"/>
    <w:rsid w:val="00FF3B5F"/>
    <w:rsid w:val="00FF4498"/>
    <w:rsid w:val="00FF4FA4"/>
    <w:rsid w:val="00FF4FB4"/>
    <w:rsid w:val="00FF535A"/>
    <w:rsid w:val="00FF5527"/>
    <w:rsid w:val="00FF5754"/>
    <w:rsid w:val="00FF68EA"/>
    <w:rsid w:val="00FF6B20"/>
    <w:rsid w:val="00FF705F"/>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04A7"/>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2"/>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323A3D"/>
    <w:rPr>
      <w:rFonts w:ascii="Arial" w:hAnsi="Arial"/>
      <w:sz w:val="18"/>
      <w:lang w:val="en-GB"/>
    </w:rPr>
  </w:style>
  <w:style w:type="character" w:customStyle="1" w:styleId="TAHCar">
    <w:name w:val="TAH Car"/>
    <w:link w:val="TAH"/>
    <w:qFormat/>
    <w:rsid w:val="00323A3D"/>
    <w:rPr>
      <w:rFonts w:ascii="Arial" w:hAnsi="Arial"/>
      <w:b/>
      <w:sz w:val="18"/>
      <w:lang w:val="en-GB"/>
    </w:rPr>
  </w:style>
  <w:style w:type="paragraph" w:styleId="Revision">
    <w:name w:val="Revision"/>
    <w:hidden/>
    <w:uiPriority w:val="99"/>
    <w:semiHidden/>
    <w:rsid w:val="00A34974"/>
    <w:rPr>
      <w:lang w:val="en-GB"/>
    </w:rPr>
  </w:style>
  <w:style w:type="character" w:customStyle="1" w:styleId="ui-provider">
    <w:name w:val="ui-provider"/>
    <w:basedOn w:val="DefaultParagraphFont"/>
    <w:rsid w:val="00D9146A"/>
  </w:style>
  <w:style w:type="character" w:styleId="HTMLCode">
    <w:name w:val="HTML Code"/>
    <w:basedOn w:val="DefaultParagraphFont"/>
    <w:uiPriority w:val="99"/>
    <w:semiHidden/>
    <w:unhideWhenUsed/>
    <w:rsid w:val="00F31FF3"/>
    <w:rPr>
      <w:rFonts w:ascii="Courier New" w:eastAsia="Times New Roman" w:hAnsi="Courier New" w:cs="Courier New"/>
      <w:sz w:val="20"/>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964E4A"/>
    <w:rPr>
      <w:rFonts w:ascii="Arial" w:hAnsi="Arial"/>
      <w:sz w:val="28"/>
      <w:lang w:val="en-GB"/>
    </w:rPr>
  </w:style>
  <w:style w:type="table" w:styleId="GridTable4-Accent1">
    <w:name w:val="Grid Table 4 Accent 1"/>
    <w:basedOn w:val="TableNormal"/>
    <w:uiPriority w:val="49"/>
    <w:rsid w:val="0026416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
    <w:name w:val="List Table 4"/>
    <w:basedOn w:val="TableNormal"/>
    <w:uiPriority w:val="49"/>
    <w:rsid w:val="0026416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662">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75056657">
      <w:bodyDiv w:val="1"/>
      <w:marLeft w:val="0"/>
      <w:marRight w:val="0"/>
      <w:marTop w:val="0"/>
      <w:marBottom w:val="0"/>
      <w:divBdr>
        <w:top w:val="none" w:sz="0" w:space="0" w:color="auto"/>
        <w:left w:val="none" w:sz="0" w:space="0" w:color="auto"/>
        <w:bottom w:val="none" w:sz="0" w:space="0" w:color="auto"/>
        <w:right w:val="none" w:sz="0" w:space="0" w:color="auto"/>
      </w:divBdr>
    </w:div>
    <w:div w:id="83697602">
      <w:bodyDiv w:val="1"/>
      <w:marLeft w:val="0"/>
      <w:marRight w:val="0"/>
      <w:marTop w:val="0"/>
      <w:marBottom w:val="0"/>
      <w:divBdr>
        <w:top w:val="none" w:sz="0" w:space="0" w:color="auto"/>
        <w:left w:val="none" w:sz="0" w:space="0" w:color="auto"/>
        <w:bottom w:val="none" w:sz="0" w:space="0" w:color="auto"/>
        <w:right w:val="none" w:sz="0" w:space="0" w:color="auto"/>
      </w:divBdr>
    </w:div>
    <w:div w:id="131102520">
      <w:bodyDiv w:val="1"/>
      <w:marLeft w:val="0"/>
      <w:marRight w:val="0"/>
      <w:marTop w:val="0"/>
      <w:marBottom w:val="0"/>
      <w:divBdr>
        <w:top w:val="none" w:sz="0" w:space="0" w:color="auto"/>
        <w:left w:val="none" w:sz="0" w:space="0" w:color="auto"/>
        <w:bottom w:val="none" w:sz="0" w:space="0" w:color="auto"/>
        <w:right w:val="none" w:sz="0" w:space="0" w:color="auto"/>
      </w:divBdr>
    </w:div>
    <w:div w:id="141243420">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5630177">
      <w:bodyDiv w:val="1"/>
      <w:marLeft w:val="0"/>
      <w:marRight w:val="0"/>
      <w:marTop w:val="0"/>
      <w:marBottom w:val="0"/>
      <w:divBdr>
        <w:top w:val="none" w:sz="0" w:space="0" w:color="auto"/>
        <w:left w:val="none" w:sz="0" w:space="0" w:color="auto"/>
        <w:bottom w:val="none" w:sz="0" w:space="0" w:color="auto"/>
        <w:right w:val="none" w:sz="0" w:space="0" w:color="auto"/>
      </w:divBdr>
    </w:div>
    <w:div w:id="196478685">
      <w:bodyDiv w:val="1"/>
      <w:marLeft w:val="0"/>
      <w:marRight w:val="0"/>
      <w:marTop w:val="0"/>
      <w:marBottom w:val="0"/>
      <w:divBdr>
        <w:top w:val="none" w:sz="0" w:space="0" w:color="auto"/>
        <w:left w:val="none" w:sz="0" w:space="0" w:color="auto"/>
        <w:bottom w:val="none" w:sz="0" w:space="0" w:color="auto"/>
        <w:right w:val="none" w:sz="0" w:space="0" w:color="auto"/>
      </w:divBdr>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27033731">
      <w:bodyDiv w:val="1"/>
      <w:marLeft w:val="0"/>
      <w:marRight w:val="0"/>
      <w:marTop w:val="0"/>
      <w:marBottom w:val="0"/>
      <w:divBdr>
        <w:top w:val="none" w:sz="0" w:space="0" w:color="auto"/>
        <w:left w:val="none" w:sz="0" w:space="0" w:color="auto"/>
        <w:bottom w:val="none" w:sz="0" w:space="0" w:color="auto"/>
        <w:right w:val="none" w:sz="0" w:space="0" w:color="auto"/>
      </w:divBdr>
    </w:div>
    <w:div w:id="249431683">
      <w:bodyDiv w:val="1"/>
      <w:marLeft w:val="0"/>
      <w:marRight w:val="0"/>
      <w:marTop w:val="0"/>
      <w:marBottom w:val="0"/>
      <w:divBdr>
        <w:top w:val="none" w:sz="0" w:space="0" w:color="auto"/>
        <w:left w:val="none" w:sz="0" w:space="0" w:color="auto"/>
        <w:bottom w:val="none" w:sz="0" w:space="0" w:color="auto"/>
        <w:right w:val="none" w:sz="0" w:space="0" w:color="auto"/>
      </w:divBdr>
    </w:div>
    <w:div w:id="25482568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97684147">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09943485">
      <w:bodyDiv w:val="1"/>
      <w:marLeft w:val="0"/>
      <w:marRight w:val="0"/>
      <w:marTop w:val="0"/>
      <w:marBottom w:val="0"/>
      <w:divBdr>
        <w:top w:val="none" w:sz="0" w:space="0" w:color="auto"/>
        <w:left w:val="none" w:sz="0" w:space="0" w:color="auto"/>
        <w:bottom w:val="none" w:sz="0" w:space="0" w:color="auto"/>
        <w:right w:val="none" w:sz="0" w:space="0" w:color="auto"/>
      </w:divBdr>
    </w:div>
    <w:div w:id="310138991">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0037592">
      <w:bodyDiv w:val="1"/>
      <w:marLeft w:val="0"/>
      <w:marRight w:val="0"/>
      <w:marTop w:val="0"/>
      <w:marBottom w:val="0"/>
      <w:divBdr>
        <w:top w:val="none" w:sz="0" w:space="0" w:color="auto"/>
        <w:left w:val="none" w:sz="0" w:space="0" w:color="auto"/>
        <w:bottom w:val="none" w:sz="0" w:space="0" w:color="auto"/>
        <w:right w:val="none" w:sz="0" w:space="0" w:color="auto"/>
      </w:divBdr>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28755967">
      <w:bodyDiv w:val="1"/>
      <w:marLeft w:val="0"/>
      <w:marRight w:val="0"/>
      <w:marTop w:val="0"/>
      <w:marBottom w:val="0"/>
      <w:divBdr>
        <w:top w:val="none" w:sz="0" w:space="0" w:color="auto"/>
        <w:left w:val="none" w:sz="0" w:space="0" w:color="auto"/>
        <w:bottom w:val="none" w:sz="0" w:space="0" w:color="auto"/>
        <w:right w:val="none" w:sz="0" w:space="0" w:color="auto"/>
      </w:divBdr>
    </w:div>
    <w:div w:id="329406513">
      <w:bodyDiv w:val="1"/>
      <w:marLeft w:val="0"/>
      <w:marRight w:val="0"/>
      <w:marTop w:val="0"/>
      <w:marBottom w:val="0"/>
      <w:divBdr>
        <w:top w:val="none" w:sz="0" w:space="0" w:color="auto"/>
        <w:left w:val="none" w:sz="0" w:space="0" w:color="auto"/>
        <w:bottom w:val="none" w:sz="0" w:space="0" w:color="auto"/>
        <w:right w:val="none" w:sz="0" w:space="0" w:color="auto"/>
      </w:divBdr>
    </w:div>
    <w:div w:id="337659939">
      <w:bodyDiv w:val="1"/>
      <w:marLeft w:val="0"/>
      <w:marRight w:val="0"/>
      <w:marTop w:val="0"/>
      <w:marBottom w:val="0"/>
      <w:divBdr>
        <w:top w:val="none" w:sz="0" w:space="0" w:color="auto"/>
        <w:left w:val="none" w:sz="0" w:space="0" w:color="auto"/>
        <w:bottom w:val="none" w:sz="0" w:space="0" w:color="auto"/>
        <w:right w:val="none" w:sz="0" w:space="0" w:color="auto"/>
      </w:divBdr>
    </w:div>
    <w:div w:id="339621273">
      <w:bodyDiv w:val="1"/>
      <w:marLeft w:val="0"/>
      <w:marRight w:val="0"/>
      <w:marTop w:val="0"/>
      <w:marBottom w:val="0"/>
      <w:divBdr>
        <w:top w:val="none" w:sz="0" w:space="0" w:color="auto"/>
        <w:left w:val="none" w:sz="0" w:space="0" w:color="auto"/>
        <w:bottom w:val="none" w:sz="0" w:space="0" w:color="auto"/>
        <w:right w:val="none" w:sz="0" w:space="0" w:color="auto"/>
      </w:divBdr>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50838746">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2604749">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1678590">
      <w:bodyDiv w:val="1"/>
      <w:marLeft w:val="0"/>
      <w:marRight w:val="0"/>
      <w:marTop w:val="0"/>
      <w:marBottom w:val="0"/>
      <w:divBdr>
        <w:top w:val="none" w:sz="0" w:space="0" w:color="auto"/>
        <w:left w:val="none" w:sz="0" w:space="0" w:color="auto"/>
        <w:bottom w:val="none" w:sz="0" w:space="0" w:color="auto"/>
        <w:right w:val="none" w:sz="0" w:space="0" w:color="auto"/>
      </w:divBdr>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6841683">
      <w:bodyDiv w:val="1"/>
      <w:marLeft w:val="0"/>
      <w:marRight w:val="0"/>
      <w:marTop w:val="0"/>
      <w:marBottom w:val="0"/>
      <w:divBdr>
        <w:top w:val="none" w:sz="0" w:space="0" w:color="auto"/>
        <w:left w:val="none" w:sz="0" w:space="0" w:color="auto"/>
        <w:bottom w:val="none" w:sz="0" w:space="0" w:color="auto"/>
        <w:right w:val="none" w:sz="0" w:space="0" w:color="auto"/>
      </w:divBdr>
    </w:div>
    <w:div w:id="566963479">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596401247">
      <w:bodyDiv w:val="1"/>
      <w:marLeft w:val="0"/>
      <w:marRight w:val="0"/>
      <w:marTop w:val="0"/>
      <w:marBottom w:val="0"/>
      <w:divBdr>
        <w:top w:val="none" w:sz="0" w:space="0" w:color="auto"/>
        <w:left w:val="none" w:sz="0" w:space="0" w:color="auto"/>
        <w:bottom w:val="none" w:sz="0" w:space="0" w:color="auto"/>
        <w:right w:val="none" w:sz="0" w:space="0" w:color="auto"/>
      </w:divBdr>
    </w:div>
    <w:div w:id="610669879">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3266727">
      <w:bodyDiv w:val="1"/>
      <w:marLeft w:val="0"/>
      <w:marRight w:val="0"/>
      <w:marTop w:val="0"/>
      <w:marBottom w:val="0"/>
      <w:divBdr>
        <w:top w:val="none" w:sz="0" w:space="0" w:color="auto"/>
        <w:left w:val="none" w:sz="0" w:space="0" w:color="auto"/>
        <w:bottom w:val="none" w:sz="0" w:space="0" w:color="auto"/>
        <w:right w:val="none" w:sz="0" w:space="0" w:color="auto"/>
      </w:divBdr>
    </w:div>
    <w:div w:id="643855454">
      <w:bodyDiv w:val="1"/>
      <w:marLeft w:val="0"/>
      <w:marRight w:val="0"/>
      <w:marTop w:val="0"/>
      <w:marBottom w:val="0"/>
      <w:divBdr>
        <w:top w:val="none" w:sz="0" w:space="0" w:color="auto"/>
        <w:left w:val="none" w:sz="0" w:space="0" w:color="auto"/>
        <w:bottom w:val="none" w:sz="0" w:space="0" w:color="auto"/>
        <w:right w:val="none" w:sz="0" w:space="0" w:color="auto"/>
      </w:divBdr>
    </w:div>
    <w:div w:id="673071093">
      <w:bodyDiv w:val="1"/>
      <w:marLeft w:val="0"/>
      <w:marRight w:val="0"/>
      <w:marTop w:val="0"/>
      <w:marBottom w:val="0"/>
      <w:divBdr>
        <w:top w:val="none" w:sz="0" w:space="0" w:color="auto"/>
        <w:left w:val="none" w:sz="0" w:space="0" w:color="auto"/>
        <w:bottom w:val="none" w:sz="0" w:space="0" w:color="auto"/>
        <w:right w:val="none" w:sz="0" w:space="0" w:color="auto"/>
      </w:divBdr>
    </w:div>
    <w:div w:id="697898700">
      <w:bodyDiv w:val="1"/>
      <w:marLeft w:val="0"/>
      <w:marRight w:val="0"/>
      <w:marTop w:val="0"/>
      <w:marBottom w:val="0"/>
      <w:divBdr>
        <w:top w:val="none" w:sz="0" w:space="0" w:color="auto"/>
        <w:left w:val="none" w:sz="0" w:space="0" w:color="auto"/>
        <w:bottom w:val="none" w:sz="0" w:space="0" w:color="auto"/>
        <w:right w:val="none" w:sz="0" w:space="0" w:color="auto"/>
      </w:divBdr>
    </w:div>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44378827">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3107916">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31091356">
      <w:bodyDiv w:val="1"/>
      <w:marLeft w:val="0"/>
      <w:marRight w:val="0"/>
      <w:marTop w:val="0"/>
      <w:marBottom w:val="0"/>
      <w:divBdr>
        <w:top w:val="none" w:sz="0" w:space="0" w:color="auto"/>
        <w:left w:val="none" w:sz="0" w:space="0" w:color="auto"/>
        <w:bottom w:val="none" w:sz="0" w:space="0" w:color="auto"/>
        <w:right w:val="none" w:sz="0" w:space="0" w:color="auto"/>
      </w:divBdr>
    </w:div>
    <w:div w:id="941651265">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57489897">
      <w:bodyDiv w:val="1"/>
      <w:marLeft w:val="0"/>
      <w:marRight w:val="0"/>
      <w:marTop w:val="0"/>
      <w:marBottom w:val="0"/>
      <w:divBdr>
        <w:top w:val="none" w:sz="0" w:space="0" w:color="auto"/>
        <w:left w:val="none" w:sz="0" w:space="0" w:color="auto"/>
        <w:bottom w:val="none" w:sz="0" w:space="0" w:color="auto"/>
        <w:right w:val="none" w:sz="0" w:space="0" w:color="auto"/>
      </w:divBdr>
    </w:div>
    <w:div w:id="965432953">
      <w:bodyDiv w:val="1"/>
      <w:marLeft w:val="0"/>
      <w:marRight w:val="0"/>
      <w:marTop w:val="0"/>
      <w:marBottom w:val="0"/>
      <w:divBdr>
        <w:top w:val="none" w:sz="0" w:space="0" w:color="auto"/>
        <w:left w:val="none" w:sz="0" w:space="0" w:color="auto"/>
        <w:bottom w:val="none" w:sz="0" w:space="0" w:color="auto"/>
        <w:right w:val="none" w:sz="0" w:space="0" w:color="auto"/>
      </w:divBdr>
    </w:div>
    <w:div w:id="971207967">
      <w:bodyDiv w:val="1"/>
      <w:marLeft w:val="0"/>
      <w:marRight w:val="0"/>
      <w:marTop w:val="0"/>
      <w:marBottom w:val="0"/>
      <w:divBdr>
        <w:top w:val="none" w:sz="0" w:space="0" w:color="auto"/>
        <w:left w:val="none" w:sz="0" w:space="0" w:color="auto"/>
        <w:bottom w:val="none" w:sz="0" w:space="0" w:color="auto"/>
        <w:right w:val="none" w:sz="0" w:space="0" w:color="auto"/>
      </w:divBdr>
    </w:div>
    <w:div w:id="971406374">
      <w:bodyDiv w:val="1"/>
      <w:marLeft w:val="0"/>
      <w:marRight w:val="0"/>
      <w:marTop w:val="0"/>
      <w:marBottom w:val="0"/>
      <w:divBdr>
        <w:top w:val="none" w:sz="0" w:space="0" w:color="auto"/>
        <w:left w:val="none" w:sz="0" w:space="0" w:color="auto"/>
        <w:bottom w:val="none" w:sz="0" w:space="0" w:color="auto"/>
        <w:right w:val="none" w:sz="0" w:space="0" w:color="auto"/>
      </w:divBdr>
    </w:div>
    <w:div w:id="976186293">
      <w:bodyDiv w:val="1"/>
      <w:marLeft w:val="0"/>
      <w:marRight w:val="0"/>
      <w:marTop w:val="0"/>
      <w:marBottom w:val="0"/>
      <w:divBdr>
        <w:top w:val="none" w:sz="0" w:space="0" w:color="auto"/>
        <w:left w:val="none" w:sz="0" w:space="0" w:color="auto"/>
        <w:bottom w:val="none" w:sz="0" w:space="0" w:color="auto"/>
        <w:right w:val="none" w:sz="0" w:space="0" w:color="auto"/>
      </w:divBdr>
    </w:div>
    <w:div w:id="1010255137">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9329680">
      <w:bodyDiv w:val="1"/>
      <w:marLeft w:val="0"/>
      <w:marRight w:val="0"/>
      <w:marTop w:val="0"/>
      <w:marBottom w:val="0"/>
      <w:divBdr>
        <w:top w:val="none" w:sz="0" w:space="0" w:color="auto"/>
        <w:left w:val="none" w:sz="0" w:space="0" w:color="auto"/>
        <w:bottom w:val="none" w:sz="0" w:space="0" w:color="auto"/>
        <w:right w:val="none" w:sz="0" w:space="0" w:color="auto"/>
      </w:divBdr>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3667899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200320719">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2330852">
      <w:bodyDiv w:val="1"/>
      <w:marLeft w:val="0"/>
      <w:marRight w:val="0"/>
      <w:marTop w:val="0"/>
      <w:marBottom w:val="0"/>
      <w:divBdr>
        <w:top w:val="none" w:sz="0" w:space="0" w:color="auto"/>
        <w:left w:val="none" w:sz="0" w:space="0" w:color="auto"/>
        <w:bottom w:val="none" w:sz="0" w:space="0" w:color="auto"/>
        <w:right w:val="none" w:sz="0" w:space="0" w:color="auto"/>
      </w:divBdr>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250042543">
      <w:bodyDiv w:val="1"/>
      <w:marLeft w:val="0"/>
      <w:marRight w:val="0"/>
      <w:marTop w:val="0"/>
      <w:marBottom w:val="0"/>
      <w:divBdr>
        <w:top w:val="none" w:sz="0" w:space="0" w:color="auto"/>
        <w:left w:val="none" w:sz="0" w:space="0" w:color="auto"/>
        <w:bottom w:val="none" w:sz="0" w:space="0" w:color="auto"/>
        <w:right w:val="none" w:sz="0" w:space="0" w:color="auto"/>
      </w:divBdr>
    </w:div>
    <w:div w:id="1265042573">
      <w:bodyDiv w:val="1"/>
      <w:marLeft w:val="0"/>
      <w:marRight w:val="0"/>
      <w:marTop w:val="0"/>
      <w:marBottom w:val="0"/>
      <w:divBdr>
        <w:top w:val="none" w:sz="0" w:space="0" w:color="auto"/>
        <w:left w:val="none" w:sz="0" w:space="0" w:color="auto"/>
        <w:bottom w:val="none" w:sz="0" w:space="0" w:color="auto"/>
        <w:right w:val="none" w:sz="0" w:space="0" w:color="auto"/>
      </w:divBdr>
    </w:div>
    <w:div w:id="1297679218">
      <w:bodyDiv w:val="1"/>
      <w:marLeft w:val="0"/>
      <w:marRight w:val="0"/>
      <w:marTop w:val="0"/>
      <w:marBottom w:val="0"/>
      <w:divBdr>
        <w:top w:val="none" w:sz="0" w:space="0" w:color="auto"/>
        <w:left w:val="none" w:sz="0" w:space="0" w:color="auto"/>
        <w:bottom w:val="none" w:sz="0" w:space="0" w:color="auto"/>
        <w:right w:val="none" w:sz="0" w:space="0" w:color="auto"/>
      </w:divBdr>
    </w:div>
    <w:div w:id="1335496333">
      <w:bodyDiv w:val="1"/>
      <w:marLeft w:val="0"/>
      <w:marRight w:val="0"/>
      <w:marTop w:val="0"/>
      <w:marBottom w:val="0"/>
      <w:divBdr>
        <w:top w:val="none" w:sz="0" w:space="0" w:color="auto"/>
        <w:left w:val="none" w:sz="0" w:space="0" w:color="auto"/>
        <w:bottom w:val="none" w:sz="0" w:space="0" w:color="auto"/>
        <w:right w:val="none" w:sz="0" w:space="0" w:color="auto"/>
      </w:divBdr>
    </w:div>
    <w:div w:id="1339574549">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2602687">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6512104">
      <w:bodyDiv w:val="1"/>
      <w:marLeft w:val="0"/>
      <w:marRight w:val="0"/>
      <w:marTop w:val="0"/>
      <w:marBottom w:val="0"/>
      <w:divBdr>
        <w:top w:val="none" w:sz="0" w:space="0" w:color="auto"/>
        <w:left w:val="none" w:sz="0" w:space="0" w:color="auto"/>
        <w:bottom w:val="none" w:sz="0" w:space="0" w:color="auto"/>
        <w:right w:val="none" w:sz="0" w:space="0" w:color="auto"/>
      </w:divBdr>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4270484">
      <w:bodyDiv w:val="1"/>
      <w:marLeft w:val="0"/>
      <w:marRight w:val="0"/>
      <w:marTop w:val="0"/>
      <w:marBottom w:val="0"/>
      <w:divBdr>
        <w:top w:val="none" w:sz="0" w:space="0" w:color="auto"/>
        <w:left w:val="none" w:sz="0" w:space="0" w:color="auto"/>
        <w:bottom w:val="none" w:sz="0" w:space="0" w:color="auto"/>
        <w:right w:val="none" w:sz="0" w:space="0" w:color="auto"/>
      </w:divBdr>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18544224">
      <w:bodyDiv w:val="1"/>
      <w:marLeft w:val="0"/>
      <w:marRight w:val="0"/>
      <w:marTop w:val="0"/>
      <w:marBottom w:val="0"/>
      <w:divBdr>
        <w:top w:val="none" w:sz="0" w:space="0" w:color="auto"/>
        <w:left w:val="none" w:sz="0" w:space="0" w:color="auto"/>
        <w:bottom w:val="none" w:sz="0" w:space="0" w:color="auto"/>
        <w:right w:val="none" w:sz="0" w:space="0" w:color="auto"/>
      </w:divBdr>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47988201">
      <w:bodyDiv w:val="1"/>
      <w:marLeft w:val="0"/>
      <w:marRight w:val="0"/>
      <w:marTop w:val="0"/>
      <w:marBottom w:val="0"/>
      <w:divBdr>
        <w:top w:val="none" w:sz="0" w:space="0" w:color="auto"/>
        <w:left w:val="none" w:sz="0" w:space="0" w:color="auto"/>
        <w:bottom w:val="none" w:sz="0" w:space="0" w:color="auto"/>
        <w:right w:val="none" w:sz="0" w:space="0" w:color="auto"/>
      </w:divBdr>
    </w:div>
    <w:div w:id="15755053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1307725">
      <w:bodyDiv w:val="1"/>
      <w:marLeft w:val="0"/>
      <w:marRight w:val="0"/>
      <w:marTop w:val="0"/>
      <w:marBottom w:val="0"/>
      <w:divBdr>
        <w:top w:val="none" w:sz="0" w:space="0" w:color="auto"/>
        <w:left w:val="none" w:sz="0" w:space="0" w:color="auto"/>
        <w:bottom w:val="none" w:sz="0" w:space="0" w:color="auto"/>
        <w:right w:val="none" w:sz="0" w:space="0" w:color="auto"/>
      </w:divBdr>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598826197">
      <w:bodyDiv w:val="1"/>
      <w:marLeft w:val="0"/>
      <w:marRight w:val="0"/>
      <w:marTop w:val="0"/>
      <w:marBottom w:val="0"/>
      <w:divBdr>
        <w:top w:val="none" w:sz="0" w:space="0" w:color="auto"/>
        <w:left w:val="none" w:sz="0" w:space="0" w:color="auto"/>
        <w:bottom w:val="none" w:sz="0" w:space="0" w:color="auto"/>
        <w:right w:val="none" w:sz="0" w:space="0" w:color="auto"/>
      </w:divBdr>
    </w:div>
    <w:div w:id="1625580587">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1807621">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1151439">
      <w:bodyDiv w:val="1"/>
      <w:marLeft w:val="0"/>
      <w:marRight w:val="0"/>
      <w:marTop w:val="0"/>
      <w:marBottom w:val="0"/>
      <w:divBdr>
        <w:top w:val="none" w:sz="0" w:space="0" w:color="auto"/>
        <w:left w:val="none" w:sz="0" w:space="0" w:color="auto"/>
        <w:bottom w:val="none" w:sz="0" w:space="0" w:color="auto"/>
        <w:right w:val="none" w:sz="0" w:space="0" w:color="auto"/>
      </w:divBdr>
    </w:div>
    <w:div w:id="1740206358">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62217324">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87965263">
      <w:bodyDiv w:val="1"/>
      <w:marLeft w:val="0"/>
      <w:marRight w:val="0"/>
      <w:marTop w:val="0"/>
      <w:marBottom w:val="0"/>
      <w:divBdr>
        <w:top w:val="none" w:sz="0" w:space="0" w:color="auto"/>
        <w:left w:val="none" w:sz="0" w:space="0" w:color="auto"/>
        <w:bottom w:val="none" w:sz="0" w:space="0" w:color="auto"/>
        <w:right w:val="none" w:sz="0" w:space="0" w:color="auto"/>
      </w:divBdr>
    </w:div>
    <w:div w:id="1788231690">
      <w:bodyDiv w:val="1"/>
      <w:marLeft w:val="0"/>
      <w:marRight w:val="0"/>
      <w:marTop w:val="0"/>
      <w:marBottom w:val="0"/>
      <w:divBdr>
        <w:top w:val="none" w:sz="0" w:space="0" w:color="auto"/>
        <w:left w:val="none" w:sz="0" w:space="0" w:color="auto"/>
        <w:bottom w:val="none" w:sz="0" w:space="0" w:color="auto"/>
        <w:right w:val="none" w:sz="0" w:space="0" w:color="auto"/>
      </w:divBdr>
    </w:div>
    <w:div w:id="1797600292">
      <w:bodyDiv w:val="1"/>
      <w:marLeft w:val="0"/>
      <w:marRight w:val="0"/>
      <w:marTop w:val="0"/>
      <w:marBottom w:val="0"/>
      <w:divBdr>
        <w:top w:val="none" w:sz="0" w:space="0" w:color="auto"/>
        <w:left w:val="none" w:sz="0" w:space="0" w:color="auto"/>
        <w:bottom w:val="none" w:sz="0" w:space="0" w:color="auto"/>
        <w:right w:val="none" w:sz="0" w:space="0" w:color="auto"/>
      </w:divBdr>
    </w:div>
    <w:div w:id="1860702001">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1422291">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603904">
      <w:bodyDiv w:val="1"/>
      <w:marLeft w:val="0"/>
      <w:marRight w:val="0"/>
      <w:marTop w:val="0"/>
      <w:marBottom w:val="0"/>
      <w:divBdr>
        <w:top w:val="none" w:sz="0" w:space="0" w:color="auto"/>
        <w:left w:val="none" w:sz="0" w:space="0" w:color="auto"/>
        <w:bottom w:val="none" w:sz="0" w:space="0" w:color="auto"/>
        <w:right w:val="none" w:sz="0" w:space="0" w:color="auto"/>
      </w:divBdr>
    </w:div>
    <w:div w:id="2034837034">
      <w:bodyDiv w:val="1"/>
      <w:marLeft w:val="0"/>
      <w:marRight w:val="0"/>
      <w:marTop w:val="0"/>
      <w:marBottom w:val="0"/>
      <w:divBdr>
        <w:top w:val="none" w:sz="0" w:space="0" w:color="auto"/>
        <w:left w:val="none" w:sz="0" w:space="0" w:color="auto"/>
        <w:bottom w:val="none" w:sz="0" w:space="0" w:color="auto"/>
        <w:right w:val="none" w:sz="0" w:space="0" w:color="auto"/>
      </w:divBdr>
    </w:div>
    <w:div w:id="2043749979">
      <w:bodyDiv w:val="1"/>
      <w:marLeft w:val="0"/>
      <w:marRight w:val="0"/>
      <w:marTop w:val="0"/>
      <w:marBottom w:val="0"/>
      <w:divBdr>
        <w:top w:val="none" w:sz="0" w:space="0" w:color="auto"/>
        <w:left w:val="none" w:sz="0" w:space="0" w:color="auto"/>
        <w:bottom w:val="none" w:sz="0" w:space="0" w:color="auto"/>
        <w:right w:val="none" w:sz="0" w:space="0" w:color="auto"/>
      </w:divBdr>
    </w:div>
    <w:div w:id="2044404574">
      <w:bodyDiv w:val="1"/>
      <w:marLeft w:val="0"/>
      <w:marRight w:val="0"/>
      <w:marTop w:val="0"/>
      <w:marBottom w:val="0"/>
      <w:divBdr>
        <w:top w:val="none" w:sz="0" w:space="0" w:color="auto"/>
        <w:left w:val="none" w:sz="0" w:space="0" w:color="auto"/>
        <w:bottom w:val="none" w:sz="0" w:space="0" w:color="auto"/>
        <w:right w:val="none" w:sz="0" w:space="0" w:color="auto"/>
      </w:divBdr>
    </w:div>
    <w:div w:id="2057469534">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13435978">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EFD73B5-F696-4E74-8BB5-355F7ECC2F18}">
  <ds:schemaRefs>
    <ds:schemaRef ds:uri="http://schemas.openxmlformats.org/officeDocument/2006/bibliography"/>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1343</TotalTime>
  <Pages>9</Pages>
  <Words>3103</Words>
  <Characters>17690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R1-2302735</vt:lpstr>
    </vt:vector>
  </TitlesOfParts>
  <Company>MediaTek</Company>
  <LinksUpToDate>false</LinksUpToDate>
  <CharactersWithSpaces>20752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R1-2305187</dc:title>
  <dc:creator/>
  <cp:keywords/>
  <cp:lastModifiedBy>Mohammed Al-Imari</cp:lastModifiedBy>
  <cp:revision>507</cp:revision>
  <cp:lastPrinted>2017-05-05T16:44:00Z</cp:lastPrinted>
  <dcterms:created xsi:type="dcterms:W3CDTF">2022-09-30T12:57:00Z</dcterms:created>
  <dcterms:modified xsi:type="dcterms:W3CDTF">2023-05-14T23:11:00Z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MSIP_Label_83bcef13-7cac-433f-ba1d-47a323951816_Enabled">
    <vt:lpwstr>true</vt:lpwstr>
  </property>
  <property fmtid="{D5CDD505-2E9C-101B-9397-08002B2CF9AE}" pid="5" name="MSIP_Label_83bcef13-7cac-433f-ba1d-47a323951816_SetDate">
    <vt:lpwstr>2022-11-04T09:19:22Z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481d10a7-1ef2-4c3d-8509-d672bafbd163</vt:lpwstr>
  </property>
  <property fmtid="{D5CDD505-2E9C-101B-9397-08002B2CF9AE}" pid="10" name="MSIP_Label_83bcef13-7cac-433f-ba1d-47a323951816_ContentBits">
    <vt:lpwstr>0</vt:lpwstr>
  </property>
</Properties>
</file>